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7CF7" w:rsidRPr="00067CF7" w:rsidRDefault="00067CF7" w:rsidP="00067CF7">
      <w:pPr>
        <w:spacing w:before="100" w:beforeAutospacing="1" w:after="100" w:afterAutospacing="1" w:line="240" w:lineRule="auto"/>
        <w:outlineLvl w:val="0"/>
        <w:rPr>
          <w:rFonts w:ascii="Times New Roman" w:eastAsia="Times New Roman" w:hAnsi="Times New Roman" w:cs="Times New Roman"/>
          <w:b/>
          <w:bCs/>
          <w:kern w:val="36"/>
          <w:sz w:val="48"/>
          <w:szCs w:val="48"/>
          <w:lang w:eastAsia="fr-FR"/>
        </w:rPr>
      </w:pPr>
      <w:bookmarkStart w:id="0" w:name="_GoBack"/>
      <w:r w:rsidRPr="00067CF7">
        <w:rPr>
          <w:rFonts w:ascii="Times New Roman" w:eastAsia="Times New Roman" w:hAnsi="Times New Roman" w:cs="Times New Roman"/>
          <w:b/>
          <w:bCs/>
          <w:kern w:val="36"/>
          <w:sz w:val="48"/>
          <w:szCs w:val="48"/>
          <w:lang w:eastAsia="fr-FR"/>
        </w:rPr>
        <w:t>Cancer du côlon : comment la mutation du gène APC perturbe la migration des lymphocytes</w:t>
      </w:r>
    </w:p>
    <w:bookmarkEnd w:id="0"/>
    <w:p w:rsidR="00067CF7" w:rsidRPr="00067CF7" w:rsidRDefault="00067CF7" w:rsidP="00067CF7">
      <w:pPr>
        <w:spacing w:after="0"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 xml:space="preserve">Lymphocytes T humains en migration générant une extension large au front et des protrusions adhésives allongées à l’arrière. Image obtenue par microscopie </w:t>
      </w:r>
      <w:proofErr w:type="spellStart"/>
      <w:r w:rsidRPr="00067CF7">
        <w:rPr>
          <w:rFonts w:ascii="Times New Roman" w:eastAsia="Times New Roman" w:hAnsi="Times New Roman" w:cs="Times New Roman"/>
          <w:sz w:val="24"/>
          <w:szCs w:val="24"/>
          <w:lang w:eastAsia="fr-FR"/>
        </w:rPr>
        <w:t>confocale</w:t>
      </w:r>
      <w:proofErr w:type="spellEnd"/>
      <w:r w:rsidRPr="00067CF7">
        <w:rPr>
          <w:rFonts w:ascii="Times New Roman" w:eastAsia="Times New Roman" w:hAnsi="Times New Roman" w:cs="Times New Roman"/>
          <w:sz w:val="24"/>
          <w:szCs w:val="24"/>
          <w:lang w:eastAsia="fr-FR"/>
        </w:rPr>
        <w:t xml:space="preserve"> à fluorescence : actine filamenteuse, rose ; protéine d’adhésion VLA4, bleu). © Institut Pasteur/Biologie Cellulaire des Lymphocytes. Image par Marta </w:t>
      </w:r>
      <w:proofErr w:type="spellStart"/>
      <w:r w:rsidRPr="00067CF7">
        <w:rPr>
          <w:rFonts w:ascii="Times New Roman" w:eastAsia="Times New Roman" w:hAnsi="Times New Roman" w:cs="Times New Roman"/>
          <w:sz w:val="24"/>
          <w:szCs w:val="24"/>
          <w:lang w:eastAsia="fr-FR"/>
        </w:rPr>
        <w:t>Mastrogiovanni</w:t>
      </w:r>
      <w:proofErr w:type="spellEnd"/>
      <w:r w:rsidRPr="00067CF7">
        <w:rPr>
          <w:rFonts w:ascii="Times New Roman" w:eastAsia="Times New Roman" w:hAnsi="Times New Roman" w:cs="Times New Roman"/>
          <w:sz w:val="24"/>
          <w:szCs w:val="24"/>
          <w:lang w:eastAsia="fr-FR"/>
        </w:rPr>
        <w:t>.</w:t>
      </w:r>
    </w:p>
    <w:p w:rsidR="00067CF7" w:rsidRPr="00067CF7" w:rsidRDefault="00067CF7" w:rsidP="00067CF7">
      <w:pPr>
        <w:spacing w:after="0"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 xml:space="preserve">Communiqué de presse </w:t>
      </w:r>
    </w:p>
    <w:p w:rsidR="00067CF7" w:rsidRPr="00067CF7" w:rsidRDefault="00067CF7" w:rsidP="00067CF7">
      <w:pPr>
        <w:spacing w:after="0"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 xml:space="preserve">13.04.2022 </w:t>
      </w:r>
    </w:p>
    <w:p w:rsidR="00067CF7" w:rsidRPr="00067CF7" w:rsidRDefault="00067CF7" w:rsidP="00067CF7">
      <w:pPr>
        <w:spacing w:after="0"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 xml:space="preserve">| </w:t>
      </w:r>
    </w:p>
    <w:p w:rsidR="00067CF7" w:rsidRPr="00067CF7" w:rsidRDefault="00067CF7" w:rsidP="00067CF7">
      <w:pPr>
        <w:spacing w:after="0"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Partager</w:t>
      </w:r>
    </w:p>
    <w:p w:rsidR="00067CF7" w:rsidRPr="00067CF7" w:rsidRDefault="00067CF7" w:rsidP="00067CF7">
      <w:pPr>
        <w:spacing w:after="0"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noProof/>
          <w:color w:val="0000FF"/>
          <w:sz w:val="24"/>
          <w:szCs w:val="24"/>
          <w:lang w:eastAsia="fr-FR"/>
        </w:rPr>
        <w:drawing>
          <wp:inline distT="0" distB="0" distL="0" distR="0">
            <wp:extent cx="173355" cy="173355"/>
            <wp:effectExtent l="0" t="0" r="0" b="0"/>
            <wp:docPr id="3" name="Image 3" descr="LinkedIn logo">
              <a:hlinkClick xmlns:a="http://schemas.openxmlformats.org/drawingml/2006/main" r:id="rId4" tgtFrame="&quot;_blank&quot;" tooltip="&quot;Publier cet article sur Linked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kedIn logo">
                      <a:hlinkClick r:id="rId4" tgtFrame="&quot;_blank&quot;" tooltip="&quot;Publier cet article sur LinkedIn.&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355" cy="173355"/>
                    </a:xfrm>
                    <a:prstGeom prst="rect">
                      <a:avLst/>
                    </a:prstGeom>
                    <a:noFill/>
                    <a:ln>
                      <a:noFill/>
                    </a:ln>
                  </pic:spPr>
                </pic:pic>
              </a:graphicData>
            </a:graphic>
          </wp:inline>
        </w:drawing>
      </w:r>
      <w:r w:rsidRPr="00067CF7">
        <w:rPr>
          <w:rFonts w:ascii="Times New Roman" w:eastAsia="Times New Roman" w:hAnsi="Times New Roman" w:cs="Times New Roman"/>
          <w:noProof/>
          <w:color w:val="0000FF"/>
          <w:sz w:val="24"/>
          <w:szCs w:val="24"/>
          <w:lang w:eastAsia="fr-FR"/>
        </w:rPr>
        <w:drawing>
          <wp:inline distT="0" distB="0" distL="0" distR="0">
            <wp:extent cx="95250" cy="173355"/>
            <wp:effectExtent l="0" t="0" r="0" b="0"/>
            <wp:docPr id="2" name="Image 2" descr="Facebook logo">
              <a:hlinkClick xmlns:a="http://schemas.openxmlformats.org/drawingml/2006/main" r:id="rId6" tgtFrame="&quot;_blank&quot;" tooltip="&quot;Partager sur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cebook logo">
                      <a:hlinkClick r:id="rId6" tgtFrame="&quot;_blank&quot;" tooltip="&quot;Partager sur Faceboo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 cy="173355"/>
                    </a:xfrm>
                    <a:prstGeom prst="rect">
                      <a:avLst/>
                    </a:prstGeom>
                    <a:noFill/>
                    <a:ln>
                      <a:noFill/>
                    </a:ln>
                  </pic:spPr>
                </pic:pic>
              </a:graphicData>
            </a:graphic>
          </wp:inline>
        </w:drawing>
      </w:r>
      <w:r w:rsidRPr="00067CF7">
        <w:rPr>
          <w:rFonts w:ascii="Times New Roman" w:eastAsia="Times New Roman" w:hAnsi="Times New Roman" w:cs="Times New Roman"/>
          <w:noProof/>
          <w:color w:val="0000FF"/>
          <w:sz w:val="24"/>
          <w:szCs w:val="24"/>
          <w:lang w:eastAsia="fr-FR"/>
        </w:rPr>
        <w:drawing>
          <wp:inline distT="0" distB="0" distL="0" distR="0">
            <wp:extent cx="199390" cy="173355"/>
            <wp:effectExtent l="0" t="0" r="0" b="0"/>
            <wp:docPr id="1" name="Image 1" descr="Twitter logo">
              <a:hlinkClick xmlns:a="http://schemas.openxmlformats.org/drawingml/2006/main" r:id="rId8" tgtFrame="&quot;_blank&quot;" tooltip="&quot;Partager sur Twitt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itter logo">
                      <a:hlinkClick r:id="rId8" tgtFrame="&quot;_blank&quot;" tooltip="&quot;Partager sur Twitter&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390" cy="173355"/>
                    </a:xfrm>
                    <a:prstGeom prst="rect">
                      <a:avLst/>
                    </a:prstGeom>
                    <a:noFill/>
                    <a:ln>
                      <a:noFill/>
                    </a:ln>
                  </pic:spPr>
                </pic:pic>
              </a:graphicData>
            </a:graphic>
          </wp:inline>
        </w:drawing>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b/>
          <w:bCs/>
          <w:sz w:val="24"/>
          <w:szCs w:val="24"/>
          <w:lang w:eastAsia="fr-FR"/>
        </w:rPr>
        <w:t xml:space="preserve">Chez les patients atteints de polypose </w:t>
      </w:r>
      <w:proofErr w:type="spellStart"/>
      <w:r w:rsidRPr="00067CF7">
        <w:rPr>
          <w:rFonts w:ascii="Times New Roman" w:eastAsia="Times New Roman" w:hAnsi="Times New Roman" w:cs="Times New Roman"/>
          <w:b/>
          <w:bCs/>
          <w:sz w:val="24"/>
          <w:szCs w:val="24"/>
          <w:lang w:eastAsia="fr-FR"/>
        </w:rPr>
        <w:t>adénomateuse</w:t>
      </w:r>
      <w:proofErr w:type="spellEnd"/>
      <w:r w:rsidRPr="00067CF7">
        <w:rPr>
          <w:rFonts w:ascii="Times New Roman" w:eastAsia="Times New Roman" w:hAnsi="Times New Roman" w:cs="Times New Roman"/>
          <w:b/>
          <w:bCs/>
          <w:sz w:val="24"/>
          <w:szCs w:val="24"/>
          <w:lang w:eastAsia="fr-FR"/>
        </w:rPr>
        <w:t xml:space="preserve"> familiale, une maladie génétique qui prédispose au cancer du côlon, les mutations du gène APC induisent la formation de polypes intestinaux, mais réduisent aussi l’action du système immunitaire. Dans une nouvelle étude, des chercheurs et chercheuses de l’Institut Pasteur, de </w:t>
      </w:r>
      <w:proofErr w:type="gramStart"/>
      <w:r w:rsidRPr="00067CF7">
        <w:rPr>
          <w:rFonts w:ascii="Times New Roman" w:eastAsia="Times New Roman" w:hAnsi="Times New Roman" w:cs="Times New Roman"/>
          <w:b/>
          <w:bCs/>
          <w:sz w:val="24"/>
          <w:szCs w:val="24"/>
          <w:lang w:eastAsia="fr-FR"/>
        </w:rPr>
        <w:t>l’Inserm</w:t>
      </w:r>
      <w:r w:rsidRPr="00067CF7">
        <w:rPr>
          <w:rFonts w:ascii="Times New Roman" w:eastAsia="Times New Roman" w:hAnsi="Times New Roman" w:cs="Times New Roman"/>
          <w:sz w:val="24"/>
          <w:szCs w:val="24"/>
          <w:vertAlign w:val="superscript"/>
          <w:lang w:eastAsia="fr-FR"/>
        </w:rPr>
        <w:t>(</w:t>
      </w:r>
      <w:proofErr w:type="gramEnd"/>
      <w:r w:rsidRPr="00067CF7">
        <w:rPr>
          <w:rFonts w:ascii="Times New Roman" w:eastAsia="Times New Roman" w:hAnsi="Times New Roman" w:cs="Times New Roman"/>
          <w:sz w:val="24"/>
          <w:szCs w:val="24"/>
          <w:vertAlign w:val="superscript"/>
          <w:lang w:eastAsia="fr-FR"/>
        </w:rPr>
        <w:t>1)</w:t>
      </w:r>
      <w:r w:rsidRPr="00067CF7">
        <w:rPr>
          <w:rFonts w:ascii="Times New Roman" w:eastAsia="Times New Roman" w:hAnsi="Times New Roman" w:cs="Times New Roman"/>
          <w:b/>
          <w:bCs/>
          <w:sz w:val="24"/>
          <w:szCs w:val="24"/>
          <w:lang w:eastAsia="fr-FR"/>
        </w:rPr>
        <w:t xml:space="preserve"> et d’Université Paris Cité détaillent les mécanismes qui altèrent la structure des lymphocytes T et entravent leur migration jusqu’aux tumeurs à détruire. Cette découverte, publiée dans le journal </w:t>
      </w:r>
      <w:hyperlink r:id="rId10" w:tgtFrame="_blank" w:history="1">
        <w:r w:rsidRPr="00067CF7">
          <w:rPr>
            <w:rFonts w:ascii="Times New Roman" w:eastAsia="Times New Roman" w:hAnsi="Times New Roman" w:cs="Times New Roman"/>
            <w:b/>
            <w:bCs/>
            <w:i/>
            <w:iCs/>
            <w:color w:val="0000FF"/>
            <w:sz w:val="24"/>
            <w:szCs w:val="24"/>
            <w:u w:val="single"/>
            <w:lang w:eastAsia="fr-FR"/>
          </w:rPr>
          <w:t xml:space="preserve">Science </w:t>
        </w:r>
        <w:proofErr w:type="spellStart"/>
        <w:r w:rsidRPr="00067CF7">
          <w:rPr>
            <w:rFonts w:ascii="Times New Roman" w:eastAsia="Times New Roman" w:hAnsi="Times New Roman" w:cs="Times New Roman"/>
            <w:b/>
            <w:bCs/>
            <w:i/>
            <w:iCs/>
            <w:color w:val="0000FF"/>
            <w:sz w:val="24"/>
            <w:szCs w:val="24"/>
            <w:u w:val="single"/>
            <w:lang w:eastAsia="fr-FR"/>
          </w:rPr>
          <w:t>Advances</w:t>
        </w:r>
        <w:proofErr w:type="spellEnd"/>
      </w:hyperlink>
      <w:r w:rsidRPr="00067CF7">
        <w:rPr>
          <w:rFonts w:ascii="Times New Roman" w:eastAsia="Times New Roman" w:hAnsi="Times New Roman" w:cs="Times New Roman"/>
          <w:b/>
          <w:bCs/>
          <w:i/>
          <w:iCs/>
          <w:sz w:val="24"/>
          <w:szCs w:val="24"/>
          <w:lang w:eastAsia="fr-FR"/>
        </w:rPr>
        <w:t xml:space="preserve">, </w:t>
      </w:r>
      <w:r w:rsidRPr="00067CF7">
        <w:rPr>
          <w:rFonts w:ascii="Times New Roman" w:eastAsia="Times New Roman" w:hAnsi="Times New Roman" w:cs="Times New Roman"/>
          <w:b/>
          <w:bCs/>
          <w:sz w:val="24"/>
          <w:szCs w:val="24"/>
          <w:lang w:eastAsia="fr-FR"/>
        </w:rPr>
        <w:t xml:space="preserve">le 13 avril 2022, apporte de nouveaux éléments sur la migration des cellules immunitaires, un processus clé de la défense immune anti-tumorale. </w:t>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 xml:space="preserve">Comme son nom l’indique, la polypose </w:t>
      </w:r>
      <w:proofErr w:type="spellStart"/>
      <w:r w:rsidRPr="00067CF7">
        <w:rPr>
          <w:rFonts w:ascii="Times New Roman" w:eastAsia="Times New Roman" w:hAnsi="Times New Roman" w:cs="Times New Roman"/>
          <w:sz w:val="24"/>
          <w:szCs w:val="24"/>
          <w:lang w:eastAsia="fr-FR"/>
        </w:rPr>
        <w:t>adénomateuse</w:t>
      </w:r>
      <w:proofErr w:type="spellEnd"/>
      <w:r w:rsidRPr="00067CF7">
        <w:rPr>
          <w:rFonts w:ascii="Times New Roman" w:eastAsia="Times New Roman" w:hAnsi="Times New Roman" w:cs="Times New Roman"/>
          <w:sz w:val="24"/>
          <w:szCs w:val="24"/>
          <w:lang w:eastAsia="fr-FR"/>
        </w:rPr>
        <w:t xml:space="preserve"> familiale se transmet de génération en génération. En cause : des mutations du gène suppresseur de tumeur APC (</w:t>
      </w:r>
      <w:proofErr w:type="spellStart"/>
      <w:r w:rsidRPr="00067CF7">
        <w:rPr>
          <w:rFonts w:ascii="Times New Roman" w:eastAsia="Times New Roman" w:hAnsi="Times New Roman" w:cs="Times New Roman"/>
          <w:i/>
          <w:iCs/>
          <w:sz w:val="24"/>
          <w:szCs w:val="24"/>
          <w:lang w:eastAsia="fr-FR"/>
        </w:rPr>
        <w:t>Adenomatous</w:t>
      </w:r>
      <w:proofErr w:type="spellEnd"/>
      <w:r w:rsidRPr="00067CF7">
        <w:rPr>
          <w:rFonts w:ascii="Times New Roman" w:eastAsia="Times New Roman" w:hAnsi="Times New Roman" w:cs="Times New Roman"/>
          <w:i/>
          <w:iCs/>
          <w:sz w:val="24"/>
          <w:szCs w:val="24"/>
          <w:lang w:eastAsia="fr-FR"/>
        </w:rPr>
        <w:t xml:space="preserve"> </w:t>
      </w:r>
      <w:proofErr w:type="spellStart"/>
      <w:r w:rsidRPr="00067CF7">
        <w:rPr>
          <w:rFonts w:ascii="Times New Roman" w:eastAsia="Times New Roman" w:hAnsi="Times New Roman" w:cs="Times New Roman"/>
          <w:i/>
          <w:iCs/>
          <w:sz w:val="24"/>
          <w:szCs w:val="24"/>
          <w:lang w:eastAsia="fr-FR"/>
        </w:rPr>
        <w:t>polyposis</w:t>
      </w:r>
      <w:proofErr w:type="spellEnd"/>
      <w:r w:rsidRPr="00067CF7">
        <w:rPr>
          <w:rFonts w:ascii="Times New Roman" w:eastAsia="Times New Roman" w:hAnsi="Times New Roman" w:cs="Times New Roman"/>
          <w:i/>
          <w:iCs/>
          <w:sz w:val="24"/>
          <w:szCs w:val="24"/>
          <w:lang w:eastAsia="fr-FR"/>
        </w:rPr>
        <w:t xml:space="preserve"> coli</w:t>
      </w:r>
      <w:r w:rsidRPr="00067CF7">
        <w:rPr>
          <w:rFonts w:ascii="Times New Roman" w:eastAsia="Times New Roman" w:hAnsi="Times New Roman" w:cs="Times New Roman"/>
          <w:sz w:val="24"/>
          <w:szCs w:val="24"/>
          <w:lang w:eastAsia="fr-FR"/>
        </w:rPr>
        <w:t xml:space="preserve">). Les personnes qui héritent de ces mutations développent des centaines voire des milliers de polypes dans le côlon, dès l’adolescence, puis un cancer </w:t>
      </w:r>
      <w:proofErr w:type="gramStart"/>
      <w:r w:rsidRPr="00067CF7">
        <w:rPr>
          <w:rFonts w:ascii="Times New Roman" w:eastAsia="Times New Roman" w:hAnsi="Times New Roman" w:cs="Times New Roman"/>
          <w:sz w:val="24"/>
          <w:szCs w:val="24"/>
          <w:lang w:eastAsia="fr-FR"/>
        </w:rPr>
        <w:t>colorectal</w:t>
      </w:r>
      <w:r w:rsidRPr="00067CF7">
        <w:rPr>
          <w:rFonts w:ascii="Times New Roman" w:eastAsia="Times New Roman" w:hAnsi="Times New Roman" w:cs="Times New Roman"/>
          <w:sz w:val="24"/>
          <w:szCs w:val="24"/>
          <w:vertAlign w:val="superscript"/>
          <w:lang w:eastAsia="fr-FR"/>
        </w:rPr>
        <w:t>(</w:t>
      </w:r>
      <w:proofErr w:type="gramEnd"/>
      <w:r w:rsidRPr="00067CF7">
        <w:rPr>
          <w:rFonts w:ascii="Times New Roman" w:eastAsia="Times New Roman" w:hAnsi="Times New Roman" w:cs="Times New Roman"/>
          <w:sz w:val="24"/>
          <w:szCs w:val="24"/>
          <w:vertAlign w:val="superscript"/>
          <w:lang w:eastAsia="fr-FR"/>
        </w:rPr>
        <w:t>2)</w:t>
      </w:r>
      <w:r w:rsidRPr="00067CF7">
        <w:rPr>
          <w:rFonts w:ascii="Times New Roman" w:eastAsia="Times New Roman" w:hAnsi="Times New Roman" w:cs="Times New Roman"/>
          <w:sz w:val="24"/>
          <w:szCs w:val="24"/>
          <w:lang w:eastAsia="fr-FR"/>
        </w:rPr>
        <w:t xml:space="preserve"> à l’âge adulte si les polypes ne sont pas retirés chirurgicalement. « </w:t>
      </w:r>
      <w:r w:rsidRPr="00067CF7">
        <w:rPr>
          <w:rFonts w:ascii="Times New Roman" w:eastAsia="Times New Roman" w:hAnsi="Times New Roman" w:cs="Times New Roman"/>
          <w:i/>
          <w:iCs/>
          <w:sz w:val="24"/>
          <w:szCs w:val="24"/>
          <w:lang w:eastAsia="fr-FR"/>
        </w:rPr>
        <w:t xml:space="preserve">Comme il s’agit d’une maladie héréditaire, toutes les cellules de l’organisme portent la mutation et peuvent être affectées de différentes façons, </w:t>
      </w:r>
      <w:r w:rsidRPr="00067CF7">
        <w:rPr>
          <w:rFonts w:ascii="Times New Roman" w:eastAsia="Times New Roman" w:hAnsi="Times New Roman" w:cs="Times New Roman"/>
          <w:sz w:val="24"/>
          <w:szCs w:val="24"/>
          <w:lang w:eastAsia="fr-FR"/>
        </w:rPr>
        <w:t xml:space="preserve">rappelle Andrés </w:t>
      </w:r>
      <w:proofErr w:type="spellStart"/>
      <w:r w:rsidRPr="00067CF7">
        <w:rPr>
          <w:rFonts w:ascii="Times New Roman" w:eastAsia="Times New Roman" w:hAnsi="Times New Roman" w:cs="Times New Roman"/>
          <w:sz w:val="24"/>
          <w:szCs w:val="24"/>
          <w:lang w:eastAsia="fr-FR"/>
        </w:rPr>
        <w:t>Alcover</w:t>
      </w:r>
      <w:proofErr w:type="spellEnd"/>
      <w:r w:rsidRPr="00067CF7">
        <w:rPr>
          <w:rFonts w:ascii="Times New Roman" w:eastAsia="Times New Roman" w:hAnsi="Times New Roman" w:cs="Times New Roman"/>
          <w:sz w:val="24"/>
          <w:szCs w:val="24"/>
          <w:lang w:eastAsia="fr-FR"/>
        </w:rPr>
        <w:t xml:space="preserve">, responsable de l’unité de Biologie cellulaire des lymphocytes à l’Institut Pasteur et </w:t>
      </w:r>
      <w:proofErr w:type="spellStart"/>
      <w:r w:rsidRPr="00067CF7">
        <w:rPr>
          <w:rFonts w:ascii="Times New Roman" w:eastAsia="Times New Roman" w:hAnsi="Times New Roman" w:cs="Times New Roman"/>
          <w:sz w:val="24"/>
          <w:szCs w:val="24"/>
          <w:lang w:eastAsia="fr-FR"/>
        </w:rPr>
        <w:t>co</w:t>
      </w:r>
      <w:proofErr w:type="spellEnd"/>
      <w:r w:rsidRPr="00067CF7">
        <w:rPr>
          <w:rFonts w:ascii="Times New Roman" w:eastAsia="Times New Roman" w:hAnsi="Times New Roman" w:cs="Times New Roman"/>
          <w:sz w:val="24"/>
          <w:szCs w:val="24"/>
          <w:lang w:eastAsia="fr-FR"/>
        </w:rPr>
        <w:t>-senior auteur de l’étude.</w:t>
      </w:r>
      <w:r w:rsidRPr="00067CF7">
        <w:rPr>
          <w:rFonts w:ascii="Times New Roman" w:eastAsia="Times New Roman" w:hAnsi="Times New Roman" w:cs="Times New Roman"/>
          <w:i/>
          <w:iCs/>
          <w:sz w:val="24"/>
          <w:szCs w:val="24"/>
          <w:lang w:eastAsia="fr-FR"/>
        </w:rPr>
        <w:t xml:space="preserve"> On sait aujourd’hui que ces mutations perturbent le fonctionnement des cellules du côlon mais aussi celles du système immunitaire</w:t>
      </w:r>
      <w:r w:rsidRPr="00067CF7">
        <w:rPr>
          <w:rFonts w:ascii="Times New Roman" w:eastAsia="Times New Roman" w:hAnsi="Times New Roman" w:cs="Times New Roman"/>
          <w:sz w:val="24"/>
          <w:szCs w:val="24"/>
          <w:lang w:eastAsia="fr-FR"/>
        </w:rPr>
        <w:t> ».</w:t>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Dans de précédentes études, cette équipe de chercheurs de l’Institut Pasteur, du CNRS et de l’Inserm – soutenue financièrement par la Ligue Nationale Contre le Cancer depuis 2018</w:t>
      </w:r>
      <w:r w:rsidRPr="00067CF7">
        <w:rPr>
          <w:rFonts w:ascii="Times New Roman" w:eastAsia="Times New Roman" w:hAnsi="Times New Roman" w:cs="Times New Roman"/>
          <w:sz w:val="24"/>
          <w:szCs w:val="24"/>
          <w:vertAlign w:val="superscript"/>
          <w:lang w:eastAsia="fr-FR"/>
        </w:rPr>
        <w:t>(3)</w:t>
      </w:r>
      <w:r w:rsidRPr="00067CF7">
        <w:rPr>
          <w:rFonts w:ascii="Times New Roman" w:eastAsia="Times New Roman" w:hAnsi="Times New Roman" w:cs="Times New Roman"/>
          <w:sz w:val="24"/>
          <w:szCs w:val="24"/>
          <w:lang w:eastAsia="fr-FR"/>
        </w:rPr>
        <w:t xml:space="preserve"> – a en effet pu démontrer le double impact des mutations du gène APC. Non seulement, ces mutations empêchent les cellules de l’épithélium intestinal de se différencier correctement et les conduit à former des excroissances tissulaires (les polypes), mais elles altèrent aussi le fonctionnement des cellules du système immunitaire, pouvant les empêcher de lutter efficacement contre les polypes et les tumeurs. Deux mécanismes qui, ensemble, favorisent la croissance des tumeurs.</w:t>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 xml:space="preserve">Afin de mieux comprendre ce qui empêche les cellules immunitaires de jouer leur rôle, les chercheurs ont décidé cette fois-ci d’observer de plus près les lymphocytes T dont la mission est d’aller détruire les tumeurs en les infiltrant. Pour ce faire, les biologistes et les médecins </w:t>
      </w:r>
      <w:r w:rsidRPr="00067CF7">
        <w:rPr>
          <w:rFonts w:ascii="Times New Roman" w:eastAsia="Times New Roman" w:hAnsi="Times New Roman" w:cs="Times New Roman"/>
          <w:sz w:val="24"/>
          <w:szCs w:val="24"/>
          <w:lang w:eastAsia="fr-FR"/>
        </w:rPr>
        <w:lastRenderedPageBreak/>
        <w:t xml:space="preserve">de recherche clinique de la </w:t>
      </w:r>
      <w:proofErr w:type="spellStart"/>
      <w:r w:rsidRPr="00067CF7">
        <w:rPr>
          <w:rFonts w:ascii="Times New Roman" w:eastAsia="Times New Roman" w:hAnsi="Times New Roman" w:cs="Times New Roman"/>
          <w:sz w:val="24"/>
          <w:szCs w:val="24"/>
          <w:lang w:eastAsia="fr-FR"/>
        </w:rPr>
        <w:t>plateforme</w:t>
      </w:r>
      <w:proofErr w:type="spellEnd"/>
      <w:r w:rsidRPr="00067CF7">
        <w:rPr>
          <w:rFonts w:ascii="Times New Roman" w:eastAsia="Times New Roman" w:hAnsi="Times New Roman" w:cs="Times New Roman"/>
          <w:sz w:val="24"/>
          <w:szCs w:val="24"/>
          <w:lang w:eastAsia="fr-FR"/>
        </w:rPr>
        <w:t xml:space="preserve"> </w:t>
      </w:r>
      <w:hyperlink r:id="rId11" w:tgtFrame="_blank" w:history="1">
        <w:proofErr w:type="spellStart"/>
        <w:r w:rsidRPr="00067CF7">
          <w:rPr>
            <w:rFonts w:ascii="Times New Roman" w:eastAsia="Times New Roman" w:hAnsi="Times New Roman" w:cs="Times New Roman"/>
            <w:color w:val="0000FF"/>
            <w:sz w:val="24"/>
            <w:szCs w:val="24"/>
            <w:u w:val="single"/>
            <w:lang w:eastAsia="fr-FR"/>
          </w:rPr>
          <w:t>ICAReB</w:t>
        </w:r>
        <w:proofErr w:type="spellEnd"/>
      </w:hyperlink>
      <w:r w:rsidRPr="00067CF7">
        <w:rPr>
          <w:rFonts w:ascii="Times New Roman" w:eastAsia="Times New Roman" w:hAnsi="Times New Roman" w:cs="Times New Roman"/>
          <w:sz w:val="24"/>
          <w:szCs w:val="24"/>
          <w:lang w:eastAsia="fr-FR"/>
        </w:rPr>
        <w:t xml:space="preserve"> de l’Institut Pasteur, </w:t>
      </w:r>
      <w:proofErr w:type="spellStart"/>
      <w:r w:rsidRPr="00067CF7">
        <w:rPr>
          <w:rFonts w:ascii="Times New Roman" w:eastAsia="Times New Roman" w:hAnsi="Times New Roman" w:cs="Times New Roman"/>
          <w:sz w:val="24"/>
          <w:szCs w:val="24"/>
          <w:lang w:eastAsia="fr-FR"/>
        </w:rPr>
        <w:t>Drs</w:t>
      </w:r>
      <w:proofErr w:type="spellEnd"/>
      <w:r w:rsidRPr="00067CF7">
        <w:rPr>
          <w:rFonts w:ascii="Times New Roman" w:eastAsia="Times New Roman" w:hAnsi="Times New Roman" w:cs="Times New Roman"/>
          <w:sz w:val="24"/>
          <w:szCs w:val="24"/>
          <w:lang w:eastAsia="fr-FR"/>
        </w:rPr>
        <w:t xml:space="preserve"> Hélène </w:t>
      </w:r>
      <w:proofErr w:type="spellStart"/>
      <w:r w:rsidRPr="00067CF7">
        <w:rPr>
          <w:rFonts w:ascii="Times New Roman" w:eastAsia="Times New Roman" w:hAnsi="Times New Roman" w:cs="Times New Roman"/>
          <w:sz w:val="24"/>
          <w:szCs w:val="24"/>
          <w:lang w:eastAsia="fr-FR"/>
        </w:rPr>
        <w:t>Laude</w:t>
      </w:r>
      <w:proofErr w:type="spellEnd"/>
      <w:r w:rsidRPr="00067CF7">
        <w:rPr>
          <w:rFonts w:ascii="Times New Roman" w:eastAsia="Times New Roman" w:hAnsi="Times New Roman" w:cs="Times New Roman"/>
          <w:sz w:val="24"/>
          <w:szCs w:val="24"/>
          <w:lang w:eastAsia="fr-FR"/>
        </w:rPr>
        <w:t xml:space="preserve"> et Marie-Noëlle </w:t>
      </w:r>
      <w:proofErr w:type="spellStart"/>
      <w:r w:rsidRPr="00067CF7">
        <w:rPr>
          <w:rFonts w:ascii="Times New Roman" w:eastAsia="Times New Roman" w:hAnsi="Times New Roman" w:cs="Times New Roman"/>
          <w:sz w:val="24"/>
          <w:szCs w:val="24"/>
          <w:lang w:eastAsia="fr-FR"/>
        </w:rPr>
        <w:t>Ungeheuer</w:t>
      </w:r>
      <w:proofErr w:type="spellEnd"/>
      <w:r w:rsidRPr="00067CF7">
        <w:rPr>
          <w:rFonts w:ascii="Times New Roman" w:eastAsia="Times New Roman" w:hAnsi="Times New Roman" w:cs="Times New Roman"/>
          <w:sz w:val="24"/>
          <w:szCs w:val="24"/>
          <w:lang w:eastAsia="fr-FR"/>
        </w:rPr>
        <w:t>, se sont rapprochés de l’association de patients POLYPOSES FAMILIALES France. Un nouveau projet de recherche clinique impliquant l’association a permis de recruter des patients volontaires pour effectuer des prélèvements sanguins. « </w:t>
      </w:r>
      <w:r w:rsidRPr="00067CF7">
        <w:rPr>
          <w:rFonts w:ascii="Times New Roman" w:eastAsia="Times New Roman" w:hAnsi="Times New Roman" w:cs="Times New Roman"/>
          <w:i/>
          <w:iCs/>
          <w:sz w:val="24"/>
          <w:szCs w:val="24"/>
          <w:lang w:eastAsia="fr-FR"/>
        </w:rPr>
        <w:t>Grâce à l’association, nous avons rencontré des patients, mais aussi des cliniciens spécialistes de la polypose. Nous avons beaucoup appris sur cette pathologie complexe, sur le vécu des malades et des familles, et les différents degrés de gravité de la maladie. Nous avons beaucoup apprécié la grande motivation de patients pour participer à l’étude et collaborer à la recherche ainsi que l’avis des spécialistes </w:t>
      </w:r>
      <w:r w:rsidRPr="00067CF7">
        <w:rPr>
          <w:rFonts w:ascii="Times New Roman" w:eastAsia="Times New Roman" w:hAnsi="Times New Roman" w:cs="Times New Roman"/>
          <w:sz w:val="24"/>
          <w:szCs w:val="24"/>
          <w:lang w:eastAsia="fr-FR"/>
        </w:rPr>
        <w:t xml:space="preserve">», tient à saluer Andrés </w:t>
      </w:r>
      <w:proofErr w:type="spellStart"/>
      <w:r w:rsidRPr="00067CF7">
        <w:rPr>
          <w:rFonts w:ascii="Times New Roman" w:eastAsia="Times New Roman" w:hAnsi="Times New Roman" w:cs="Times New Roman"/>
          <w:sz w:val="24"/>
          <w:szCs w:val="24"/>
          <w:lang w:eastAsia="fr-FR"/>
        </w:rPr>
        <w:t>Alcover</w:t>
      </w:r>
      <w:proofErr w:type="spellEnd"/>
      <w:r w:rsidRPr="00067CF7">
        <w:rPr>
          <w:rFonts w:ascii="Times New Roman" w:eastAsia="Times New Roman" w:hAnsi="Times New Roman" w:cs="Times New Roman"/>
          <w:sz w:val="24"/>
          <w:szCs w:val="24"/>
          <w:lang w:eastAsia="fr-FR"/>
        </w:rPr>
        <w:t>.</w:t>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 xml:space="preserve">Les lymphocytes T naturellement mutés présents dans le sang de ces patients ont été cultivés puis soumis à différentes expériences </w:t>
      </w:r>
      <w:r w:rsidRPr="00067CF7">
        <w:rPr>
          <w:rFonts w:ascii="Times New Roman" w:eastAsia="Times New Roman" w:hAnsi="Times New Roman" w:cs="Times New Roman"/>
          <w:i/>
          <w:iCs/>
          <w:sz w:val="24"/>
          <w:szCs w:val="24"/>
          <w:lang w:eastAsia="fr-FR"/>
        </w:rPr>
        <w:t>in vitro</w:t>
      </w:r>
      <w:r w:rsidRPr="00067CF7">
        <w:rPr>
          <w:rFonts w:ascii="Times New Roman" w:eastAsia="Times New Roman" w:hAnsi="Times New Roman" w:cs="Times New Roman"/>
          <w:sz w:val="24"/>
          <w:szCs w:val="24"/>
          <w:lang w:eastAsia="fr-FR"/>
        </w:rPr>
        <w:t>. Les chercheurs ont ainsi pu comparer, grâce à différents micro-dispositifs : des filtres, des canaux, des substrats protéiques et de couches de cellules endothéliales des vaisseaux sanguins, le comportement des lymphocytes malades avec celui de lymphocytes de volontaires sains. Ils ont étudié la façon dont les lymphocytes se déplaçaient le long de surfaces biologiques similaires aux parois des vaisseaux sanguins, mais aussi la facilité avec laquelle ils arrivaient à écarter les cellules et à traverser des parois très serrées.</w:t>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 xml:space="preserve">« </w:t>
      </w:r>
      <w:r w:rsidRPr="00067CF7">
        <w:rPr>
          <w:rFonts w:ascii="Times New Roman" w:eastAsia="Times New Roman" w:hAnsi="Times New Roman" w:cs="Times New Roman"/>
          <w:i/>
          <w:iCs/>
          <w:sz w:val="24"/>
          <w:szCs w:val="24"/>
          <w:lang w:eastAsia="fr-FR"/>
        </w:rPr>
        <w:t>Pour évoluer le long des parois des vaisseaux sanguins, les traverser et rejoindre les tumeurs à infiltrer, les lymphocytes sains changent de morphologie. Une sorte de grand pied adhésif, soutenu par le cytosquelette du lymphocyte, s’allonge dans le sens de migration. Cette polarisation est essentielle pour se déplacer dans la bonne direction</w:t>
      </w:r>
      <w:r w:rsidRPr="00067CF7">
        <w:rPr>
          <w:rFonts w:ascii="Times New Roman" w:eastAsia="Times New Roman" w:hAnsi="Times New Roman" w:cs="Times New Roman"/>
          <w:sz w:val="24"/>
          <w:szCs w:val="24"/>
          <w:lang w:eastAsia="fr-FR"/>
        </w:rPr>
        <w:t xml:space="preserve">, explique Marta </w:t>
      </w:r>
      <w:proofErr w:type="spellStart"/>
      <w:r w:rsidRPr="00067CF7">
        <w:rPr>
          <w:rFonts w:ascii="Times New Roman" w:eastAsia="Times New Roman" w:hAnsi="Times New Roman" w:cs="Times New Roman"/>
          <w:sz w:val="24"/>
          <w:szCs w:val="24"/>
          <w:lang w:eastAsia="fr-FR"/>
        </w:rPr>
        <w:t>Mastrogiovanni</w:t>
      </w:r>
      <w:proofErr w:type="spellEnd"/>
      <w:r w:rsidRPr="00067CF7">
        <w:rPr>
          <w:rFonts w:ascii="Times New Roman" w:eastAsia="Times New Roman" w:hAnsi="Times New Roman" w:cs="Times New Roman"/>
          <w:sz w:val="24"/>
          <w:szCs w:val="24"/>
          <w:lang w:eastAsia="fr-FR"/>
        </w:rPr>
        <w:t xml:space="preserve">, chercheuse au sein de l’unité de Biologie cellulaire des lymphocytes à l’Institut Pasteur et première autrice de l’étude. </w:t>
      </w:r>
      <w:r w:rsidRPr="00067CF7">
        <w:rPr>
          <w:rFonts w:ascii="Times New Roman" w:eastAsia="Times New Roman" w:hAnsi="Times New Roman" w:cs="Times New Roman"/>
          <w:i/>
          <w:iCs/>
          <w:sz w:val="24"/>
          <w:szCs w:val="24"/>
          <w:lang w:eastAsia="fr-FR"/>
        </w:rPr>
        <w:t xml:space="preserve">Chez les lymphocytes mutés, les microtubules qui composent le cytosquelette sont désorganisés et les protéines d’adhésion moins nombreuses. Les cellules perdent leur polarité et leurs "muscles". »  </w:t>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Si les lymphocytes T mutés ne se déplacent pas forcément moins vite que les lymphocytes sains, ils adhèrent moins bien aux parois, ont plus de difficultés à se diriger dans une direction donnée et à franchir les parois. En sommes, ces travaux ont mis en évidence que leur migration était moins efficace. « </w:t>
      </w:r>
      <w:r w:rsidRPr="00067CF7">
        <w:rPr>
          <w:rFonts w:ascii="Times New Roman" w:eastAsia="Times New Roman" w:hAnsi="Times New Roman" w:cs="Times New Roman"/>
          <w:i/>
          <w:iCs/>
          <w:sz w:val="24"/>
          <w:szCs w:val="24"/>
          <w:lang w:eastAsia="fr-FR"/>
        </w:rPr>
        <w:t>Cette découverte est importante car</w:t>
      </w:r>
      <w:r w:rsidRPr="00067CF7">
        <w:rPr>
          <w:rFonts w:ascii="Times New Roman" w:eastAsia="Times New Roman" w:hAnsi="Times New Roman" w:cs="Times New Roman"/>
          <w:sz w:val="24"/>
          <w:szCs w:val="24"/>
          <w:lang w:eastAsia="fr-FR"/>
        </w:rPr>
        <w:t xml:space="preserve"> </w:t>
      </w:r>
      <w:r w:rsidRPr="00067CF7">
        <w:rPr>
          <w:rFonts w:ascii="Times New Roman" w:eastAsia="Times New Roman" w:hAnsi="Times New Roman" w:cs="Times New Roman"/>
          <w:i/>
          <w:iCs/>
          <w:sz w:val="24"/>
          <w:szCs w:val="24"/>
          <w:lang w:eastAsia="fr-FR"/>
        </w:rPr>
        <w:t>la mobilité des cellules immunitaires est un processus clé de la défense immune anti-tumorale</w:t>
      </w:r>
      <w:r w:rsidRPr="00067CF7">
        <w:rPr>
          <w:rFonts w:ascii="Times New Roman" w:eastAsia="Times New Roman" w:hAnsi="Times New Roman" w:cs="Times New Roman"/>
          <w:sz w:val="24"/>
          <w:szCs w:val="24"/>
          <w:lang w:eastAsia="fr-FR"/>
        </w:rPr>
        <w:t>. </w:t>
      </w:r>
      <w:r w:rsidRPr="00067CF7">
        <w:rPr>
          <w:rFonts w:ascii="Times New Roman" w:eastAsia="Times New Roman" w:hAnsi="Times New Roman" w:cs="Times New Roman"/>
          <w:i/>
          <w:iCs/>
          <w:sz w:val="24"/>
          <w:szCs w:val="24"/>
          <w:lang w:eastAsia="fr-FR"/>
        </w:rPr>
        <w:t xml:space="preserve">On sait que le système immunitaire est très important pour combattre les pathogènes mais on oublie parfois qu’il aide aussi à lutter contre les cellules cancéreuses </w:t>
      </w:r>
      <w:r w:rsidRPr="00067CF7">
        <w:rPr>
          <w:rFonts w:ascii="Times New Roman" w:eastAsia="Times New Roman" w:hAnsi="Times New Roman" w:cs="Times New Roman"/>
          <w:sz w:val="24"/>
          <w:szCs w:val="24"/>
          <w:lang w:eastAsia="fr-FR"/>
        </w:rPr>
        <w:t xml:space="preserve">», conclut Vincenzo Di Bartolo, chercheur au sein de l’unité de Biologie cellulaire des lymphocytes à l’Institut Pasteur et </w:t>
      </w:r>
      <w:proofErr w:type="spellStart"/>
      <w:r w:rsidRPr="00067CF7">
        <w:rPr>
          <w:rFonts w:ascii="Times New Roman" w:eastAsia="Times New Roman" w:hAnsi="Times New Roman" w:cs="Times New Roman"/>
          <w:sz w:val="24"/>
          <w:szCs w:val="24"/>
          <w:lang w:eastAsia="fr-FR"/>
        </w:rPr>
        <w:t>co</w:t>
      </w:r>
      <w:proofErr w:type="spellEnd"/>
      <w:r w:rsidRPr="00067CF7">
        <w:rPr>
          <w:rFonts w:ascii="Times New Roman" w:eastAsia="Times New Roman" w:hAnsi="Times New Roman" w:cs="Times New Roman"/>
          <w:sz w:val="24"/>
          <w:szCs w:val="24"/>
          <w:lang w:eastAsia="fr-FR"/>
        </w:rPr>
        <w:t>-senior auteur de l’étude.</w:t>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 xml:space="preserve">(1) Projet collaboratif : Institut Pasteur, Département d’Immunologie et Centre de Recherche </w:t>
      </w:r>
      <w:proofErr w:type="spellStart"/>
      <w:r w:rsidRPr="00067CF7">
        <w:rPr>
          <w:rFonts w:ascii="Times New Roman" w:eastAsia="Times New Roman" w:hAnsi="Times New Roman" w:cs="Times New Roman"/>
          <w:sz w:val="24"/>
          <w:szCs w:val="24"/>
          <w:lang w:eastAsia="fr-FR"/>
        </w:rPr>
        <w:t>Translationnel</w:t>
      </w:r>
      <w:proofErr w:type="spellEnd"/>
      <w:r w:rsidRPr="00067CF7">
        <w:rPr>
          <w:rFonts w:ascii="Times New Roman" w:eastAsia="Times New Roman" w:hAnsi="Times New Roman" w:cs="Times New Roman"/>
          <w:sz w:val="24"/>
          <w:szCs w:val="24"/>
          <w:lang w:eastAsia="fr-FR"/>
        </w:rPr>
        <w:t xml:space="preserve"> (CRT, </w:t>
      </w:r>
      <w:hyperlink r:id="rId12" w:tgtFrame="_blank" w:history="1">
        <w:proofErr w:type="spellStart"/>
        <w:r w:rsidRPr="00067CF7">
          <w:rPr>
            <w:rFonts w:ascii="Times New Roman" w:eastAsia="Times New Roman" w:hAnsi="Times New Roman" w:cs="Times New Roman"/>
            <w:color w:val="0000FF"/>
            <w:sz w:val="24"/>
            <w:szCs w:val="24"/>
            <w:u w:val="single"/>
            <w:lang w:eastAsia="fr-FR"/>
          </w:rPr>
          <w:t>ICAReB</w:t>
        </w:r>
        <w:proofErr w:type="spellEnd"/>
      </w:hyperlink>
      <w:r w:rsidRPr="00067CF7">
        <w:rPr>
          <w:rFonts w:ascii="Times New Roman" w:eastAsia="Times New Roman" w:hAnsi="Times New Roman" w:cs="Times New Roman"/>
          <w:sz w:val="24"/>
          <w:szCs w:val="24"/>
          <w:lang w:eastAsia="fr-FR"/>
        </w:rPr>
        <w:t>), et inter instituts : Pasteur, Cochin, Curie et Gilles de Gennes.</w:t>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 xml:space="preserve">(2) La polypose </w:t>
      </w:r>
      <w:proofErr w:type="spellStart"/>
      <w:r w:rsidRPr="00067CF7">
        <w:rPr>
          <w:rFonts w:ascii="Times New Roman" w:eastAsia="Times New Roman" w:hAnsi="Times New Roman" w:cs="Times New Roman"/>
          <w:sz w:val="24"/>
          <w:szCs w:val="24"/>
          <w:lang w:eastAsia="fr-FR"/>
        </w:rPr>
        <w:t>adénomateuse</w:t>
      </w:r>
      <w:proofErr w:type="spellEnd"/>
      <w:r w:rsidRPr="00067CF7">
        <w:rPr>
          <w:rFonts w:ascii="Times New Roman" w:eastAsia="Times New Roman" w:hAnsi="Times New Roman" w:cs="Times New Roman"/>
          <w:sz w:val="24"/>
          <w:szCs w:val="24"/>
          <w:lang w:eastAsia="fr-FR"/>
        </w:rPr>
        <w:t xml:space="preserve"> familiale représente 1 % de tous les cancers colorectaux. </w:t>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 xml:space="preserve">(3) Financement Équipe Labellisée Ligue Nationale Contre le Cancer 2018-2022, Institut Pasteur et Inserm. Marta </w:t>
      </w:r>
      <w:proofErr w:type="spellStart"/>
      <w:r w:rsidRPr="00067CF7">
        <w:rPr>
          <w:rFonts w:ascii="Times New Roman" w:eastAsia="Times New Roman" w:hAnsi="Times New Roman" w:cs="Times New Roman"/>
          <w:sz w:val="24"/>
          <w:szCs w:val="24"/>
          <w:lang w:eastAsia="fr-FR"/>
        </w:rPr>
        <w:t>Mastrogiovanni</w:t>
      </w:r>
      <w:proofErr w:type="spellEnd"/>
      <w:r w:rsidRPr="00067CF7">
        <w:rPr>
          <w:rFonts w:ascii="Times New Roman" w:eastAsia="Times New Roman" w:hAnsi="Times New Roman" w:cs="Times New Roman"/>
          <w:sz w:val="24"/>
          <w:szCs w:val="24"/>
          <w:lang w:eastAsia="fr-FR"/>
        </w:rPr>
        <w:t xml:space="preserve"> a été financée par le Pasteur-Paris </w:t>
      </w:r>
      <w:proofErr w:type="spellStart"/>
      <w:r w:rsidRPr="00067CF7">
        <w:rPr>
          <w:rFonts w:ascii="Times New Roman" w:eastAsia="Times New Roman" w:hAnsi="Times New Roman" w:cs="Times New Roman"/>
          <w:sz w:val="24"/>
          <w:szCs w:val="24"/>
          <w:lang w:eastAsia="fr-FR"/>
        </w:rPr>
        <w:t>University</w:t>
      </w:r>
      <w:proofErr w:type="spellEnd"/>
      <w:r w:rsidRPr="00067CF7">
        <w:rPr>
          <w:rFonts w:ascii="Times New Roman" w:eastAsia="Times New Roman" w:hAnsi="Times New Roman" w:cs="Times New Roman"/>
          <w:sz w:val="24"/>
          <w:szCs w:val="24"/>
          <w:lang w:eastAsia="fr-FR"/>
        </w:rPr>
        <w:t xml:space="preserve"> International Doctoral Program et the </w:t>
      </w:r>
      <w:proofErr w:type="spellStart"/>
      <w:r w:rsidRPr="00067CF7">
        <w:rPr>
          <w:rFonts w:ascii="Times New Roman" w:eastAsia="Times New Roman" w:hAnsi="Times New Roman" w:cs="Times New Roman"/>
          <w:sz w:val="24"/>
          <w:szCs w:val="24"/>
          <w:lang w:eastAsia="fr-FR"/>
        </w:rPr>
        <w:t>European</w:t>
      </w:r>
      <w:proofErr w:type="spellEnd"/>
      <w:r w:rsidRPr="00067CF7">
        <w:rPr>
          <w:rFonts w:ascii="Times New Roman" w:eastAsia="Times New Roman" w:hAnsi="Times New Roman" w:cs="Times New Roman"/>
          <w:sz w:val="24"/>
          <w:szCs w:val="24"/>
          <w:lang w:eastAsia="fr-FR"/>
        </w:rPr>
        <w:t xml:space="preserve"> Union Horizon 2020 </w:t>
      </w:r>
      <w:proofErr w:type="spellStart"/>
      <w:r w:rsidRPr="00067CF7">
        <w:rPr>
          <w:rFonts w:ascii="Times New Roman" w:eastAsia="Times New Roman" w:hAnsi="Times New Roman" w:cs="Times New Roman"/>
          <w:sz w:val="24"/>
          <w:szCs w:val="24"/>
          <w:lang w:eastAsia="fr-FR"/>
        </w:rPr>
        <w:t>Research</w:t>
      </w:r>
      <w:proofErr w:type="spellEnd"/>
      <w:r w:rsidRPr="00067CF7">
        <w:rPr>
          <w:rFonts w:ascii="Times New Roman" w:eastAsia="Times New Roman" w:hAnsi="Times New Roman" w:cs="Times New Roman"/>
          <w:sz w:val="24"/>
          <w:szCs w:val="24"/>
          <w:lang w:eastAsia="fr-FR"/>
        </w:rPr>
        <w:t xml:space="preserve"> and Innovation Programme </w:t>
      </w:r>
      <w:proofErr w:type="spellStart"/>
      <w:r w:rsidRPr="00067CF7">
        <w:rPr>
          <w:rFonts w:ascii="Times New Roman" w:eastAsia="Times New Roman" w:hAnsi="Times New Roman" w:cs="Times New Roman"/>
          <w:sz w:val="24"/>
          <w:szCs w:val="24"/>
          <w:lang w:eastAsia="fr-FR"/>
        </w:rPr>
        <w:t>under</w:t>
      </w:r>
      <w:proofErr w:type="spellEnd"/>
      <w:r w:rsidRPr="00067CF7">
        <w:rPr>
          <w:rFonts w:ascii="Times New Roman" w:eastAsia="Times New Roman" w:hAnsi="Times New Roman" w:cs="Times New Roman"/>
          <w:sz w:val="24"/>
          <w:szCs w:val="24"/>
          <w:lang w:eastAsia="fr-FR"/>
        </w:rPr>
        <w:t xml:space="preserve"> the Marie </w:t>
      </w:r>
      <w:proofErr w:type="spellStart"/>
      <w:r w:rsidRPr="00067CF7">
        <w:rPr>
          <w:rFonts w:ascii="Times New Roman" w:eastAsia="Times New Roman" w:hAnsi="Times New Roman" w:cs="Times New Roman"/>
          <w:sz w:val="24"/>
          <w:szCs w:val="24"/>
          <w:lang w:eastAsia="fr-FR"/>
        </w:rPr>
        <w:t>Sklodowska</w:t>
      </w:r>
      <w:proofErr w:type="spellEnd"/>
      <w:r w:rsidRPr="00067CF7">
        <w:rPr>
          <w:rFonts w:ascii="Times New Roman" w:eastAsia="Times New Roman" w:hAnsi="Times New Roman" w:cs="Times New Roman"/>
          <w:sz w:val="24"/>
          <w:szCs w:val="24"/>
          <w:lang w:eastAsia="fr-FR"/>
        </w:rPr>
        <w:t xml:space="preserve">-Curie </w:t>
      </w:r>
      <w:proofErr w:type="spellStart"/>
      <w:r w:rsidRPr="00067CF7">
        <w:rPr>
          <w:rFonts w:ascii="Times New Roman" w:eastAsia="Times New Roman" w:hAnsi="Times New Roman" w:cs="Times New Roman"/>
          <w:sz w:val="24"/>
          <w:szCs w:val="24"/>
          <w:lang w:eastAsia="fr-FR"/>
        </w:rPr>
        <w:t>grant</w:t>
      </w:r>
      <w:proofErr w:type="spellEnd"/>
      <w:r w:rsidRPr="00067CF7">
        <w:rPr>
          <w:rFonts w:ascii="Times New Roman" w:eastAsia="Times New Roman" w:hAnsi="Times New Roman" w:cs="Times New Roman"/>
          <w:sz w:val="24"/>
          <w:szCs w:val="24"/>
          <w:lang w:eastAsia="fr-FR"/>
        </w:rPr>
        <w:t xml:space="preserve"> agreement 665807, et La Ligue Contre Le Cancer, bourse doctorale 4</w:t>
      </w:r>
      <w:r w:rsidRPr="00067CF7">
        <w:rPr>
          <w:rFonts w:ascii="Times New Roman" w:eastAsia="Times New Roman" w:hAnsi="Times New Roman" w:cs="Times New Roman"/>
          <w:sz w:val="24"/>
          <w:szCs w:val="24"/>
          <w:vertAlign w:val="superscript"/>
          <w:lang w:eastAsia="fr-FR"/>
        </w:rPr>
        <w:t>e</w:t>
      </w:r>
      <w:r w:rsidRPr="00067CF7">
        <w:rPr>
          <w:rFonts w:ascii="Times New Roman" w:eastAsia="Times New Roman" w:hAnsi="Times New Roman" w:cs="Times New Roman"/>
          <w:sz w:val="24"/>
          <w:szCs w:val="24"/>
          <w:lang w:eastAsia="fr-FR"/>
        </w:rPr>
        <w:t xml:space="preserve"> année de thèse.</w:t>
      </w:r>
      <w:r w:rsidRPr="00067CF7">
        <w:rPr>
          <w:rFonts w:ascii="Times New Roman" w:eastAsia="Times New Roman" w:hAnsi="Times New Roman" w:cs="Times New Roman"/>
          <w:sz w:val="24"/>
          <w:szCs w:val="24"/>
          <w:lang w:eastAsia="fr-FR"/>
        </w:rPr>
        <w:br/>
        <w:t> </w:t>
      </w:r>
    </w:p>
    <w:p w:rsidR="00067CF7" w:rsidRPr="00067CF7" w:rsidRDefault="00067CF7" w:rsidP="00067CF7">
      <w:pPr>
        <w:spacing w:after="0"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lastRenderedPageBreak/>
        <w:pict>
          <v:rect id="_x0000_i1028" style="width:0;height:1.5pt" o:hralign="center" o:hrstd="t" o:hr="t" fillcolor="#a0a0a0" stroked="f"/>
        </w:pict>
      </w:r>
    </w:p>
    <w:p w:rsidR="00067CF7" w:rsidRPr="00067CF7" w:rsidRDefault="00067CF7" w:rsidP="00067CF7">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067CF7">
        <w:rPr>
          <w:rFonts w:ascii="Times New Roman" w:eastAsia="Times New Roman" w:hAnsi="Times New Roman" w:cs="Times New Roman"/>
          <w:b/>
          <w:bCs/>
          <w:sz w:val="27"/>
          <w:szCs w:val="27"/>
          <w:lang w:eastAsia="fr-FR"/>
        </w:rPr>
        <w:t>Source</w:t>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b/>
          <w:bCs/>
          <w:sz w:val="24"/>
          <w:szCs w:val="24"/>
          <w:lang w:eastAsia="fr-FR"/>
        </w:rPr>
        <w:t xml:space="preserve">The </w:t>
      </w:r>
      <w:proofErr w:type="spellStart"/>
      <w:r w:rsidRPr="00067CF7">
        <w:rPr>
          <w:rFonts w:ascii="Times New Roman" w:eastAsia="Times New Roman" w:hAnsi="Times New Roman" w:cs="Times New Roman"/>
          <w:b/>
          <w:bCs/>
          <w:sz w:val="24"/>
          <w:szCs w:val="24"/>
          <w:lang w:eastAsia="fr-FR"/>
        </w:rPr>
        <w:t>tumor</w:t>
      </w:r>
      <w:proofErr w:type="spellEnd"/>
      <w:r w:rsidRPr="00067CF7">
        <w:rPr>
          <w:rFonts w:ascii="Times New Roman" w:eastAsia="Times New Roman" w:hAnsi="Times New Roman" w:cs="Times New Roman"/>
          <w:b/>
          <w:bCs/>
          <w:sz w:val="24"/>
          <w:szCs w:val="24"/>
          <w:lang w:eastAsia="fr-FR"/>
        </w:rPr>
        <w:t xml:space="preserve"> </w:t>
      </w:r>
      <w:proofErr w:type="spellStart"/>
      <w:r w:rsidRPr="00067CF7">
        <w:rPr>
          <w:rFonts w:ascii="Times New Roman" w:eastAsia="Times New Roman" w:hAnsi="Times New Roman" w:cs="Times New Roman"/>
          <w:b/>
          <w:bCs/>
          <w:sz w:val="24"/>
          <w:szCs w:val="24"/>
          <w:lang w:eastAsia="fr-FR"/>
        </w:rPr>
        <w:t>suppressor</w:t>
      </w:r>
      <w:proofErr w:type="spellEnd"/>
      <w:r w:rsidRPr="00067CF7">
        <w:rPr>
          <w:rFonts w:ascii="Times New Roman" w:eastAsia="Times New Roman" w:hAnsi="Times New Roman" w:cs="Times New Roman"/>
          <w:b/>
          <w:bCs/>
          <w:sz w:val="24"/>
          <w:szCs w:val="24"/>
          <w:lang w:eastAsia="fr-FR"/>
        </w:rPr>
        <w:t xml:space="preserve"> </w:t>
      </w:r>
      <w:proofErr w:type="spellStart"/>
      <w:r w:rsidRPr="00067CF7">
        <w:rPr>
          <w:rFonts w:ascii="Times New Roman" w:eastAsia="Times New Roman" w:hAnsi="Times New Roman" w:cs="Times New Roman"/>
          <w:b/>
          <w:bCs/>
          <w:sz w:val="24"/>
          <w:szCs w:val="24"/>
          <w:lang w:eastAsia="fr-FR"/>
        </w:rPr>
        <w:t>Adenomatous</w:t>
      </w:r>
      <w:proofErr w:type="spellEnd"/>
      <w:r w:rsidRPr="00067CF7">
        <w:rPr>
          <w:rFonts w:ascii="Times New Roman" w:eastAsia="Times New Roman" w:hAnsi="Times New Roman" w:cs="Times New Roman"/>
          <w:b/>
          <w:bCs/>
          <w:sz w:val="24"/>
          <w:szCs w:val="24"/>
          <w:lang w:eastAsia="fr-FR"/>
        </w:rPr>
        <w:t xml:space="preserve"> </w:t>
      </w:r>
      <w:proofErr w:type="spellStart"/>
      <w:r w:rsidRPr="00067CF7">
        <w:rPr>
          <w:rFonts w:ascii="Times New Roman" w:eastAsia="Times New Roman" w:hAnsi="Times New Roman" w:cs="Times New Roman"/>
          <w:b/>
          <w:bCs/>
          <w:sz w:val="24"/>
          <w:szCs w:val="24"/>
          <w:lang w:eastAsia="fr-FR"/>
        </w:rPr>
        <w:t>polyposis</w:t>
      </w:r>
      <w:proofErr w:type="spellEnd"/>
      <w:r w:rsidRPr="00067CF7">
        <w:rPr>
          <w:rFonts w:ascii="Times New Roman" w:eastAsia="Times New Roman" w:hAnsi="Times New Roman" w:cs="Times New Roman"/>
          <w:b/>
          <w:bCs/>
          <w:sz w:val="24"/>
          <w:szCs w:val="24"/>
          <w:lang w:eastAsia="fr-FR"/>
        </w:rPr>
        <w:t xml:space="preserve"> coli </w:t>
      </w:r>
      <w:proofErr w:type="spellStart"/>
      <w:r w:rsidRPr="00067CF7">
        <w:rPr>
          <w:rFonts w:ascii="Times New Roman" w:eastAsia="Times New Roman" w:hAnsi="Times New Roman" w:cs="Times New Roman"/>
          <w:b/>
          <w:bCs/>
          <w:sz w:val="24"/>
          <w:szCs w:val="24"/>
          <w:lang w:eastAsia="fr-FR"/>
        </w:rPr>
        <w:t>regulates</w:t>
      </w:r>
      <w:proofErr w:type="spellEnd"/>
      <w:r w:rsidRPr="00067CF7">
        <w:rPr>
          <w:rFonts w:ascii="Times New Roman" w:eastAsia="Times New Roman" w:hAnsi="Times New Roman" w:cs="Times New Roman"/>
          <w:b/>
          <w:bCs/>
          <w:sz w:val="24"/>
          <w:szCs w:val="24"/>
          <w:lang w:eastAsia="fr-FR"/>
        </w:rPr>
        <w:t xml:space="preserve"> T lymphocyte migration</w:t>
      </w:r>
      <w:r w:rsidRPr="00067CF7">
        <w:rPr>
          <w:rFonts w:ascii="Times New Roman" w:eastAsia="Times New Roman" w:hAnsi="Times New Roman" w:cs="Times New Roman"/>
          <w:b/>
          <w:bCs/>
          <w:i/>
          <w:iCs/>
          <w:sz w:val="24"/>
          <w:szCs w:val="24"/>
          <w:lang w:eastAsia="fr-FR"/>
        </w:rPr>
        <w:t xml:space="preserve">, </w:t>
      </w:r>
      <w:hyperlink r:id="rId13" w:tgtFrame="_blank" w:history="1">
        <w:r w:rsidRPr="00067CF7">
          <w:rPr>
            <w:rFonts w:ascii="Times New Roman" w:eastAsia="Times New Roman" w:hAnsi="Times New Roman" w:cs="Times New Roman"/>
            <w:b/>
            <w:bCs/>
            <w:i/>
            <w:iCs/>
            <w:color w:val="0000FF"/>
            <w:sz w:val="24"/>
            <w:szCs w:val="24"/>
            <w:u w:val="single"/>
            <w:lang w:eastAsia="fr-FR"/>
          </w:rPr>
          <w:t xml:space="preserve">Science </w:t>
        </w:r>
        <w:proofErr w:type="spellStart"/>
        <w:r w:rsidRPr="00067CF7">
          <w:rPr>
            <w:rFonts w:ascii="Times New Roman" w:eastAsia="Times New Roman" w:hAnsi="Times New Roman" w:cs="Times New Roman"/>
            <w:b/>
            <w:bCs/>
            <w:i/>
            <w:iCs/>
            <w:color w:val="0000FF"/>
            <w:sz w:val="24"/>
            <w:szCs w:val="24"/>
            <w:u w:val="single"/>
            <w:lang w:eastAsia="fr-FR"/>
          </w:rPr>
          <w:t>Advances</w:t>
        </w:r>
        <w:proofErr w:type="spellEnd"/>
      </w:hyperlink>
      <w:r w:rsidRPr="00067CF7">
        <w:rPr>
          <w:rFonts w:ascii="Times New Roman" w:eastAsia="Times New Roman" w:hAnsi="Times New Roman" w:cs="Times New Roman"/>
          <w:b/>
          <w:bCs/>
          <w:sz w:val="24"/>
          <w:szCs w:val="24"/>
          <w:lang w:eastAsia="fr-FR"/>
        </w:rPr>
        <w:t xml:space="preserve">, </w:t>
      </w:r>
      <w:r w:rsidRPr="00067CF7">
        <w:rPr>
          <w:rFonts w:ascii="Times New Roman" w:eastAsia="Times New Roman" w:hAnsi="Times New Roman" w:cs="Times New Roman"/>
          <w:sz w:val="24"/>
          <w:szCs w:val="24"/>
          <w:lang w:eastAsia="fr-FR"/>
        </w:rPr>
        <w:t>13 avril 2022</w:t>
      </w:r>
    </w:p>
    <w:p w:rsidR="00067CF7" w:rsidRPr="00067CF7" w:rsidRDefault="00067CF7" w:rsidP="00067CF7">
      <w:pPr>
        <w:spacing w:before="100" w:beforeAutospacing="1" w:after="100" w:afterAutospacing="1" w:line="240" w:lineRule="auto"/>
        <w:rPr>
          <w:rFonts w:ascii="Times New Roman" w:eastAsia="Times New Roman" w:hAnsi="Times New Roman" w:cs="Times New Roman"/>
          <w:sz w:val="24"/>
          <w:szCs w:val="24"/>
          <w:lang w:eastAsia="fr-FR"/>
        </w:rPr>
      </w:pPr>
      <w:r w:rsidRPr="00067CF7">
        <w:rPr>
          <w:rFonts w:ascii="Times New Roman" w:eastAsia="Times New Roman" w:hAnsi="Times New Roman" w:cs="Times New Roman"/>
          <w:sz w:val="24"/>
          <w:szCs w:val="24"/>
          <w:lang w:eastAsia="fr-FR"/>
        </w:rPr>
        <w:t>Marta Mastrogiovanni</w:t>
      </w:r>
      <w:r w:rsidRPr="00067CF7">
        <w:rPr>
          <w:rFonts w:ascii="Times New Roman" w:eastAsia="Times New Roman" w:hAnsi="Times New Roman" w:cs="Times New Roman"/>
          <w:sz w:val="24"/>
          <w:szCs w:val="24"/>
          <w:vertAlign w:val="superscript"/>
          <w:lang w:eastAsia="fr-FR"/>
        </w:rPr>
        <w:t>1,2</w:t>
      </w:r>
      <w:r w:rsidRPr="00067CF7">
        <w:rPr>
          <w:rFonts w:ascii="Times New Roman" w:eastAsia="Times New Roman" w:hAnsi="Times New Roman" w:cs="Times New Roman"/>
          <w:sz w:val="24"/>
          <w:szCs w:val="24"/>
          <w:lang w:eastAsia="fr-FR"/>
        </w:rPr>
        <w:t>, Pablo Vargas</w:t>
      </w:r>
      <w:r w:rsidRPr="00067CF7">
        <w:rPr>
          <w:rFonts w:ascii="Times New Roman" w:eastAsia="Times New Roman" w:hAnsi="Times New Roman" w:cs="Times New Roman"/>
          <w:sz w:val="24"/>
          <w:szCs w:val="24"/>
          <w:vertAlign w:val="superscript"/>
          <w:lang w:eastAsia="fr-FR"/>
        </w:rPr>
        <w:t>3,4</w:t>
      </w:r>
      <w:r w:rsidRPr="00067CF7">
        <w:rPr>
          <w:rFonts w:ascii="Times New Roman" w:eastAsia="Times New Roman" w:hAnsi="Times New Roman" w:cs="Times New Roman"/>
          <w:sz w:val="24"/>
          <w:szCs w:val="24"/>
          <w:lang w:eastAsia="fr-FR"/>
        </w:rPr>
        <w:t>, Thierry Rose</w:t>
      </w:r>
      <w:r w:rsidRPr="00067CF7">
        <w:rPr>
          <w:rFonts w:ascii="Times New Roman" w:eastAsia="Times New Roman" w:hAnsi="Times New Roman" w:cs="Times New Roman"/>
          <w:sz w:val="24"/>
          <w:szCs w:val="24"/>
          <w:vertAlign w:val="superscript"/>
          <w:lang w:eastAsia="fr-FR"/>
        </w:rPr>
        <w:t>1</w:t>
      </w:r>
      <w:r w:rsidRPr="00067CF7">
        <w:rPr>
          <w:rFonts w:ascii="Times New Roman" w:eastAsia="Times New Roman" w:hAnsi="Times New Roman" w:cs="Times New Roman"/>
          <w:sz w:val="24"/>
          <w:szCs w:val="24"/>
          <w:lang w:eastAsia="fr-FR"/>
        </w:rPr>
        <w:t xml:space="preserve">, </w:t>
      </w:r>
      <w:proofErr w:type="spellStart"/>
      <w:r w:rsidRPr="00067CF7">
        <w:rPr>
          <w:rFonts w:ascii="Times New Roman" w:eastAsia="Times New Roman" w:hAnsi="Times New Roman" w:cs="Times New Roman"/>
          <w:sz w:val="24"/>
          <w:szCs w:val="24"/>
          <w:lang w:eastAsia="fr-FR"/>
        </w:rPr>
        <w:t>Céline</w:t>
      </w:r>
      <w:proofErr w:type="spellEnd"/>
      <w:r w:rsidRPr="00067CF7">
        <w:rPr>
          <w:rFonts w:ascii="Times New Roman" w:eastAsia="Times New Roman" w:hAnsi="Times New Roman" w:cs="Times New Roman"/>
          <w:sz w:val="24"/>
          <w:szCs w:val="24"/>
          <w:lang w:eastAsia="fr-FR"/>
        </w:rPr>
        <w:t xml:space="preserve"> Cuche</w:t>
      </w:r>
      <w:r w:rsidRPr="00067CF7">
        <w:rPr>
          <w:rFonts w:ascii="Times New Roman" w:eastAsia="Times New Roman" w:hAnsi="Times New Roman" w:cs="Times New Roman"/>
          <w:sz w:val="24"/>
          <w:szCs w:val="24"/>
          <w:vertAlign w:val="superscript"/>
          <w:lang w:eastAsia="fr-FR"/>
        </w:rPr>
        <w:t>1</w:t>
      </w:r>
      <w:r w:rsidRPr="00067CF7">
        <w:rPr>
          <w:rFonts w:ascii="Times New Roman" w:eastAsia="Times New Roman" w:hAnsi="Times New Roman" w:cs="Times New Roman"/>
          <w:sz w:val="24"/>
          <w:szCs w:val="24"/>
          <w:lang w:eastAsia="fr-FR"/>
        </w:rPr>
        <w:t xml:space="preserve">, </w:t>
      </w:r>
      <w:proofErr w:type="spellStart"/>
      <w:r w:rsidRPr="00067CF7">
        <w:rPr>
          <w:rFonts w:ascii="Times New Roman" w:eastAsia="Times New Roman" w:hAnsi="Times New Roman" w:cs="Times New Roman"/>
          <w:sz w:val="24"/>
          <w:szCs w:val="24"/>
          <w:lang w:eastAsia="fr-FR"/>
        </w:rPr>
        <w:t>Elric</w:t>
      </w:r>
      <w:proofErr w:type="spellEnd"/>
      <w:r w:rsidRPr="00067CF7">
        <w:rPr>
          <w:rFonts w:ascii="Times New Roman" w:eastAsia="Times New Roman" w:hAnsi="Times New Roman" w:cs="Times New Roman"/>
          <w:sz w:val="24"/>
          <w:szCs w:val="24"/>
          <w:lang w:eastAsia="fr-FR"/>
        </w:rPr>
        <w:t xml:space="preserve"> Esposito</w:t>
      </w:r>
      <w:r w:rsidRPr="00067CF7">
        <w:rPr>
          <w:rFonts w:ascii="Times New Roman" w:eastAsia="Times New Roman" w:hAnsi="Times New Roman" w:cs="Times New Roman"/>
          <w:sz w:val="24"/>
          <w:szCs w:val="24"/>
          <w:vertAlign w:val="superscript"/>
          <w:lang w:eastAsia="fr-FR"/>
        </w:rPr>
        <w:t>5</w:t>
      </w:r>
      <w:r w:rsidRPr="00067CF7">
        <w:rPr>
          <w:rFonts w:ascii="Times New Roman" w:eastAsia="Times New Roman" w:hAnsi="Times New Roman" w:cs="Times New Roman"/>
          <w:sz w:val="24"/>
          <w:szCs w:val="24"/>
          <w:lang w:eastAsia="fr-FR"/>
        </w:rPr>
        <w:t>, Marie Juzans</w:t>
      </w:r>
      <w:r w:rsidRPr="00067CF7">
        <w:rPr>
          <w:rFonts w:ascii="Times New Roman" w:eastAsia="Times New Roman" w:hAnsi="Times New Roman" w:cs="Times New Roman"/>
          <w:sz w:val="24"/>
          <w:szCs w:val="24"/>
          <w:vertAlign w:val="superscript"/>
          <w:lang w:eastAsia="fr-FR"/>
        </w:rPr>
        <w:t>1</w:t>
      </w:r>
      <w:r w:rsidRPr="00067CF7">
        <w:rPr>
          <w:rFonts w:ascii="Times New Roman" w:eastAsia="Times New Roman" w:hAnsi="Times New Roman" w:cs="Times New Roman"/>
          <w:sz w:val="24"/>
          <w:szCs w:val="24"/>
          <w:lang w:eastAsia="fr-FR"/>
        </w:rPr>
        <w:t>, Hélène Laude</w:t>
      </w:r>
      <w:r w:rsidRPr="00067CF7">
        <w:rPr>
          <w:rFonts w:ascii="Times New Roman" w:eastAsia="Times New Roman" w:hAnsi="Times New Roman" w:cs="Times New Roman"/>
          <w:sz w:val="24"/>
          <w:szCs w:val="24"/>
          <w:vertAlign w:val="superscript"/>
          <w:lang w:eastAsia="fr-FR"/>
        </w:rPr>
        <w:t>6</w:t>
      </w:r>
      <w:r w:rsidRPr="00067CF7">
        <w:rPr>
          <w:rFonts w:ascii="Times New Roman" w:eastAsia="Times New Roman" w:hAnsi="Times New Roman" w:cs="Times New Roman"/>
          <w:sz w:val="24"/>
          <w:szCs w:val="24"/>
          <w:lang w:eastAsia="fr-FR"/>
        </w:rPr>
        <w:t>, Amandine Schneider</w:t>
      </w:r>
      <w:r w:rsidRPr="00067CF7">
        <w:rPr>
          <w:rFonts w:ascii="Times New Roman" w:eastAsia="Times New Roman" w:hAnsi="Times New Roman" w:cs="Times New Roman"/>
          <w:sz w:val="24"/>
          <w:szCs w:val="24"/>
          <w:vertAlign w:val="superscript"/>
          <w:lang w:eastAsia="fr-FR"/>
        </w:rPr>
        <w:t>1</w:t>
      </w:r>
      <w:r w:rsidRPr="00067CF7">
        <w:rPr>
          <w:rFonts w:ascii="Times New Roman" w:eastAsia="Times New Roman" w:hAnsi="Times New Roman" w:cs="Times New Roman"/>
          <w:sz w:val="24"/>
          <w:szCs w:val="24"/>
          <w:lang w:eastAsia="fr-FR"/>
        </w:rPr>
        <w:t>, Mathilde Bernard</w:t>
      </w:r>
      <w:r w:rsidRPr="00067CF7">
        <w:rPr>
          <w:rFonts w:ascii="Times New Roman" w:eastAsia="Times New Roman" w:hAnsi="Times New Roman" w:cs="Times New Roman"/>
          <w:sz w:val="24"/>
          <w:szCs w:val="24"/>
          <w:vertAlign w:val="superscript"/>
          <w:lang w:eastAsia="fr-FR"/>
        </w:rPr>
        <w:t>3,4</w:t>
      </w:r>
      <w:r w:rsidRPr="00067CF7">
        <w:rPr>
          <w:rFonts w:ascii="Times New Roman" w:eastAsia="Times New Roman" w:hAnsi="Times New Roman" w:cs="Times New Roman"/>
          <w:sz w:val="24"/>
          <w:szCs w:val="24"/>
          <w:lang w:eastAsia="fr-FR"/>
        </w:rPr>
        <w:t>, Sophie Goyard</w:t>
      </w:r>
      <w:r w:rsidRPr="00067CF7">
        <w:rPr>
          <w:rFonts w:ascii="Times New Roman" w:eastAsia="Times New Roman" w:hAnsi="Times New Roman" w:cs="Times New Roman"/>
          <w:sz w:val="24"/>
          <w:szCs w:val="24"/>
          <w:vertAlign w:val="superscript"/>
          <w:lang w:eastAsia="fr-FR"/>
        </w:rPr>
        <w:t>1</w:t>
      </w:r>
      <w:r w:rsidRPr="00067CF7">
        <w:rPr>
          <w:rFonts w:ascii="Times New Roman" w:eastAsia="Times New Roman" w:hAnsi="Times New Roman" w:cs="Times New Roman"/>
          <w:sz w:val="24"/>
          <w:szCs w:val="24"/>
          <w:lang w:eastAsia="fr-FR"/>
        </w:rPr>
        <w:t>, Charlotte Renaudat</w:t>
      </w:r>
      <w:r w:rsidRPr="00067CF7">
        <w:rPr>
          <w:rFonts w:ascii="Times New Roman" w:eastAsia="Times New Roman" w:hAnsi="Times New Roman" w:cs="Times New Roman"/>
          <w:sz w:val="24"/>
          <w:szCs w:val="24"/>
          <w:vertAlign w:val="superscript"/>
          <w:lang w:eastAsia="fr-FR"/>
        </w:rPr>
        <w:t>6</w:t>
      </w:r>
      <w:r w:rsidRPr="00067CF7">
        <w:rPr>
          <w:rFonts w:ascii="Times New Roman" w:eastAsia="Times New Roman" w:hAnsi="Times New Roman" w:cs="Times New Roman"/>
          <w:sz w:val="24"/>
          <w:szCs w:val="24"/>
          <w:lang w:eastAsia="fr-FR"/>
        </w:rPr>
        <w:t>, Marie-Noëlle Ungeheuer</w:t>
      </w:r>
      <w:r w:rsidRPr="00067CF7">
        <w:rPr>
          <w:rFonts w:ascii="Times New Roman" w:eastAsia="Times New Roman" w:hAnsi="Times New Roman" w:cs="Times New Roman"/>
          <w:sz w:val="24"/>
          <w:szCs w:val="24"/>
          <w:vertAlign w:val="superscript"/>
          <w:lang w:eastAsia="fr-FR"/>
        </w:rPr>
        <w:t>6</w:t>
      </w:r>
      <w:r w:rsidRPr="00067CF7">
        <w:rPr>
          <w:rFonts w:ascii="Times New Roman" w:eastAsia="Times New Roman" w:hAnsi="Times New Roman" w:cs="Times New Roman"/>
          <w:sz w:val="24"/>
          <w:szCs w:val="24"/>
          <w:lang w:eastAsia="fr-FR"/>
        </w:rPr>
        <w:t>, Jérôme Delon</w:t>
      </w:r>
      <w:r w:rsidRPr="00067CF7">
        <w:rPr>
          <w:rFonts w:ascii="Times New Roman" w:eastAsia="Times New Roman" w:hAnsi="Times New Roman" w:cs="Times New Roman"/>
          <w:sz w:val="24"/>
          <w:szCs w:val="24"/>
          <w:vertAlign w:val="superscript"/>
          <w:lang w:eastAsia="fr-FR"/>
        </w:rPr>
        <w:t>7</w:t>
      </w:r>
      <w:r w:rsidRPr="00067CF7">
        <w:rPr>
          <w:rFonts w:ascii="Times New Roman" w:eastAsia="Times New Roman" w:hAnsi="Times New Roman" w:cs="Times New Roman"/>
          <w:sz w:val="24"/>
          <w:szCs w:val="24"/>
          <w:lang w:eastAsia="fr-FR"/>
        </w:rPr>
        <w:t>, Andrés Alcover</w:t>
      </w:r>
      <w:r w:rsidRPr="00067CF7">
        <w:rPr>
          <w:rFonts w:ascii="Times New Roman" w:eastAsia="Times New Roman" w:hAnsi="Times New Roman" w:cs="Times New Roman"/>
          <w:sz w:val="24"/>
          <w:szCs w:val="24"/>
          <w:vertAlign w:val="superscript"/>
          <w:lang w:eastAsia="fr-FR"/>
        </w:rPr>
        <w:t>1*</w:t>
      </w:r>
      <w:r w:rsidRPr="00067CF7">
        <w:rPr>
          <w:rFonts w:ascii="Times New Roman" w:eastAsia="Times New Roman" w:hAnsi="Times New Roman" w:cs="Times New Roman"/>
          <w:sz w:val="24"/>
          <w:szCs w:val="24"/>
          <w:lang w:eastAsia="fr-FR"/>
        </w:rPr>
        <w:t>, Vincenzo Di Bartolo</w:t>
      </w:r>
      <w:r w:rsidRPr="00067CF7">
        <w:rPr>
          <w:rFonts w:ascii="Times New Roman" w:eastAsia="Times New Roman" w:hAnsi="Times New Roman" w:cs="Times New Roman"/>
          <w:sz w:val="24"/>
          <w:szCs w:val="24"/>
          <w:vertAlign w:val="superscript"/>
          <w:lang w:eastAsia="fr-FR"/>
        </w:rPr>
        <w:t>1*</w:t>
      </w:r>
      <w:r w:rsidRPr="00067CF7">
        <w:rPr>
          <w:rFonts w:ascii="Times New Roman" w:eastAsia="Times New Roman" w:hAnsi="Times New Roman" w:cs="Times New Roman"/>
          <w:sz w:val="24"/>
          <w:szCs w:val="24"/>
          <w:lang w:eastAsia="fr-FR"/>
        </w:rPr>
        <w:t>.</w:t>
      </w:r>
      <w:r w:rsidRPr="00067CF7">
        <w:rPr>
          <w:rFonts w:ascii="Times New Roman" w:eastAsia="Times New Roman" w:hAnsi="Times New Roman" w:cs="Times New Roman"/>
          <w:sz w:val="24"/>
          <w:szCs w:val="24"/>
          <w:lang w:eastAsia="fr-FR"/>
        </w:rPr>
        <w:br/>
      </w:r>
      <w:r w:rsidRPr="00067CF7">
        <w:rPr>
          <w:rFonts w:ascii="Times New Roman" w:eastAsia="Times New Roman" w:hAnsi="Times New Roman" w:cs="Times New Roman"/>
          <w:sz w:val="24"/>
          <w:szCs w:val="24"/>
          <w:lang w:eastAsia="fr-FR"/>
        </w:rPr>
        <w:br/>
      </w:r>
      <w:r w:rsidRPr="00067CF7">
        <w:rPr>
          <w:rFonts w:ascii="Times New Roman" w:eastAsia="Times New Roman" w:hAnsi="Times New Roman" w:cs="Times New Roman"/>
          <w:sz w:val="24"/>
          <w:szCs w:val="24"/>
          <w:vertAlign w:val="superscript"/>
          <w:lang w:eastAsia="fr-FR"/>
        </w:rPr>
        <w:t>1</w:t>
      </w:r>
      <w:r w:rsidRPr="00067CF7">
        <w:rPr>
          <w:rFonts w:ascii="Times New Roman" w:eastAsia="Times New Roman" w:hAnsi="Times New Roman" w:cs="Times New Roman"/>
          <w:sz w:val="24"/>
          <w:szCs w:val="24"/>
          <w:lang w:eastAsia="fr-FR"/>
        </w:rPr>
        <w:t xml:space="preserve"> Institut Pasteur, Université de Paris, INSERM-U1224, Unité Biologie Cellulaire des Lymphocytes, Ligue Nationale Contre le Cancer, Équipe Labellisée Ligue 2018. F-75015 Paris, France.</w:t>
      </w:r>
      <w:r w:rsidRPr="00067CF7">
        <w:rPr>
          <w:rFonts w:ascii="Times New Roman" w:eastAsia="Times New Roman" w:hAnsi="Times New Roman" w:cs="Times New Roman"/>
          <w:sz w:val="24"/>
          <w:szCs w:val="24"/>
          <w:lang w:eastAsia="fr-FR"/>
        </w:rPr>
        <w:br/>
      </w:r>
      <w:r w:rsidRPr="00067CF7">
        <w:rPr>
          <w:rFonts w:ascii="Times New Roman" w:eastAsia="Times New Roman" w:hAnsi="Times New Roman" w:cs="Times New Roman"/>
          <w:sz w:val="24"/>
          <w:szCs w:val="24"/>
          <w:vertAlign w:val="superscript"/>
          <w:lang w:eastAsia="fr-FR"/>
        </w:rPr>
        <w:t>2</w:t>
      </w:r>
      <w:r w:rsidRPr="00067CF7">
        <w:rPr>
          <w:rFonts w:ascii="Times New Roman" w:eastAsia="Times New Roman" w:hAnsi="Times New Roman" w:cs="Times New Roman"/>
          <w:sz w:val="24"/>
          <w:szCs w:val="24"/>
          <w:lang w:eastAsia="fr-FR"/>
        </w:rPr>
        <w:t xml:space="preserve"> Sorbonne Université, Collège Doctoral, F-75005 Paris. France.</w:t>
      </w:r>
      <w:r w:rsidRPr="00067CF7">
        <w:rPr>
          <w:rFonts w:ascii="Times New Roman" w:eastAsia="Times New Roman" w:hAnsi="Times New Roman" w:cs="Times New Roman"/>
          <w:sz w:val="24"/>
          <w:szCs w:val="24"/>
          <w:lang w:eastAsia="fr-FR"/>
        </w:rPr>
        <w:br/>
      </w:r>
      <w:r w:rsidRPr="00067CF7">
        <w:rPr>
          <w:rFonts w:ascii="Times New Roman" w:eastAsia="Times New Roman" w:hAnsi="Times New Roman" w:cs="Times New Roman"/>
          <w:sz w:val="24"/>
          <w:szCs w:val="24"/>
          <w:vertAlign w:val="superscript"/>
          <w:lang w:eastAsia="fr-FR"/>
        </w:rPr>
        <w:t xml:space="preserve">3 </w:t>
      </w:r>
      <w:r w:rsidRPr="00067CF7">
        <w:rPr>
          <w:rFonts w:ascii="Times New Roman" w:eastAsia="Times New Roman" w:hAnsi="Times New Roman" w:cs="Times New Roman"/>
          <w:sz w:val="24"/>
          <w:szCs w:val="24"/>
          <w:lang w:eastAsia="fr-FR"/>
        </w:rPr>
        <w:t xml:space="preserve">Institut Curie, PSL </w:t>
      </w:r>
      <w:proofErr w:type="spellStart"/>
      <w:r w:rsidRPr="00067CF7">
        <w:rPr>
          <w:rFonts w:ascii="Times New Roman" w:eastAsia="Times New Roman" w:hAnsi="Times New Roman" w:cs="Times New Roman"/>
          <w:sz w:val="24"/>
          <w:szCs w:val="24"/>
          <w:lang w:eastAsia="fr-FR"/>
        </w:rPr>
        <w:t>Research</w:t>
      </w:r>
      <w:proofErr w:type="spellEnd"/>
      <w:r w:rsidRPr="00067CF7">
        <w:rPr>
          <w:rFonts w:ascii="Times New Roman" w:eastAsia="Times New Roman" w:hAnsi="Times New Roman" w:cs="Times New Roman"/>
          <w:sz w:val="24"/>
          <w:szCs w:val="24"/>
          <w:lang w:eastAsia="fr-FR"/>
        </w:rPr>
        <w:t xml:space="preserve"> </w:t>
      </w:r>
      <w:proofErr w:type="spellStart"/>
      <w:r w:rsidRPr="00067CF7">
        <w:rPr>
          <w:rFonts w:ascii="Times New Roman" w:eastAsia="Times New Roman" w:hAnsi="Times New Roman" w:cs="Times New Roman"/>
          <w:sz w:val="24"/>
          <w:szCs w:val="24"/>
          <w:lang w:eastAsia="fr-FR"/>
        </w:rPr>
        <w:t>University</w:t>
      </w:r>
      <w:proofErr w:type="spellEnd"/>
      <w:r w:rsidRPr="00067CF7">
        <w:rPr>
          <w:rFonts w:ascii="Times New Roman" w:eastAsia="Times New Roman" w:hAnsi="Times New Roman" w:cs="Times New Roman"/>
          <w:sz w:val="24"/>
          <w:szCs w:val="24"/>
          <w:lang w:eastAsia="fr-FR"/>
        </w:rPr>
        <w:t>, CNRS, UMR 144, F-75005 Paris, France.</w:t>
      </w:r>
      <w:r w:rsidRPr="00067CF7">
        <w:rPr>
          <w:rFonts w:ascii="Times New Roman" w:eastAsia="Times New Roman" w:hAnsi="Times New Roman" w:cs="Times New Roman"/>
          <w:sz w:val="24"/>
          <w:szCs w:val="24"/>
          <w:lang w:eastAsia="fr-FR"/>
        </w:rPr>
        <w:br/>
      </w:r>
      <w:r w:rsidRPr="00067CF7">
        <w:rPr>
          <w:rFonts w:ascii="Times New Roman" w:eastAsia="Times New Roman" w:hAnsi="Times New Roman" w:cs="Times New Roman"/>
          <w:sz w:val="24"/>
          <w:szCs w:val="24"/>
          <w:vertAlign w:val="superscript"/>
          <w:lang w:eastAsia="fr-FR"/>
        </w:rPr>
        <w:t xml:space="preserve">4 </w:t>
      </w:r>
      <w:r w:rsidRPr="00067CF7">
        <w:rPr>
          <w:rFonts w:ascii="Times New Roman" w:eastAsia="Times New Roman" w:hAnsi="Times New Roman" w:cs="Times New Roman"/>
          <w:sz w:val="24"/>
          <w:szCs w:val="24"/>
          <w:lang w:eastAsia="fr-FR"/>
        </w:rPr>
        <w:t xml:space="preserve">Institut Pierre-Gilles de Gennes, PSL </w:t>
      </w:r>
      <w:proofErr w:type="spellStart"/>
      <w:r w:rsidRPr="00067CF7">
        <w:rPr>
          <w:rFonts w:ascii="Times New Roman" w:eastAsia="Times New Roman" w:hAnsi="Times New Roman" w:cs="Times New Roman"/>
          <w:sz w:val="24"/>
          <w:szCs w:val="24"/>
          <w:lang w:eastAsia="fr-FR"/>
        </w:rPr>
        <w:t>Research</w:t>
      </w:r>
      <w:proofErr w:type="spellEnd"/>
      <w:r w:rsidRPr="00067CF7">
        <w:rPr>
          <w:rFonts w:ascii="Times New Roman" w:eastAsia="Times New Roman" w:hAnsi="Times New Roman" w:cs="Times New Roman"/>
          <w:sz w:val="24"/>
          <w:szCs w:val="24"/>
          <w:lang w:eastAsia="fr-FR"/>
        </w:rPr>
        <w:t xml:space="preserve"> </w:t>
      </w:r>
      <w:proofErr w:type="spellStart"/>
      <w:r w:rsidRPr="00067CF7">
        <w:rPr>
          <w:rFonts w:ascii="Times New Roman" w:eastAsia="Times New Roman" w:hAnsi="Times New Roman" w:cs="Times New Roman"/>
          <w:sz w:val="24"/>
          <w:szCs w:val="24"/>
          <w:lang w:eastAsia="fr-FR"/>
        </w:rPr>
        <w:t>University</w:t>
      </w:r>
      <w:proofErr w:type="spellEnd"/>
      <w:r w:rsidRPr="00067CF7">
        <w:rPr>
          <w:rFonts w:ascii="Times New Roman" w:eastAsia="Times New Roman" w:hAnsi="Times New Roman" w:cs="Times New Roman"/>
          <w:sz w:val="24"/>
          <w:szCs w:val="24"/>
          <w:lang w:eastAsia="fr-FR"/>
        </w:rPr>
        <w:t>. F-75005 Paris, France.</w:t>
      </w:r>
      <w:r w:rsidRPr="00067CF7">
        <w:rPr>
          <w:rFonts w:ascii="Times New Roman" w:eastAsia="Times New Roman" w:hAnsi="Times New Roman" w:cs="Times New Roman"/>
          <w:sz w:val="24"/>
          <w:szCs w:val="24"/>
          <w:lang w:eastAsia="fr-FR"/>
        </w:rPr>
        <w:br/>
      </w:r>
      <w:r w:rsidRPr="00067CF7">
        <w:rPr>
          <w:rFonts w:ascii="Times New Roman" w:eastAsia="Times New Roman" w:hAnsi="Times New Roman" w:cs="Times New Roman"/>
          <w:sz w:val="24"/>
          <w:szCs w:val="24"/>
          <w:vertAlign w:val="superscript"/>
          <w:lang w:eastAsia="fr-FR"/>
        </w:rPr>
        <w:t>5</w:t>
      </w:r>
      <w:r w:rsidRPr="00067CF7">
        <w:rPr>
          <w:rFonts w:ascii="Times New Roman" w:eastAsia="Times New Roman" w:hAnsi="Times New Roman" w:cs="Times New Roman"/>
          <w:sz w:val="24"/>
          <w:szCs w:val="24"/>
          <w:lang w:eastAsia="fr-FR"/>
        </w:rPr>
        <w:t xml:space="preserve"> Institut Pasteur, Université de Paris, </w:t>
      </w:r>
      <w:proofErr w:type="spellStart"/>
      <w:r w:rsidRPr="00067CF7">
        <w:rPr>
          <w:rFonts w:ascii="Times New Roman" w:eastAsia="Times New Roman" w:hAnsi="Times New Roman" w:cs="Times New Roman"/>
          <w:sz w:val="24"/>
          <w:szCs w:val="24"/>
          <w:lang w:eastAsia="fr-FR"/>
        </w:rPr>
        <w:t>UTechS</w:t>
      </w:r>
      <w:proofErr w:type="spellEnd"/>
      <w:r w:rsidRPr="00067CF7">
        <w:rPr>
          <w:rFonts w:ascii="Times New Roman" w:eastAsia="Times New Roman" w:hAnsi="Times New Roman" w:cs="Times New Roman"/>
          <w:sz w:val="24"/>
          <w:szCs w:val="24"/>
          <w:lang w:eastAsia="fr-FR"/>
        </w:rPr>
        <w:t xml:space="preserve"> </w:t>
      </w:r>
      <w:proofErr w:type="spellStart"/>
      <w:r w:rsidRPr="00067CF7">
        <w:rPr>
          <w:rFonts w:ascii="Times New Roman" w:eastAsia="Times New Roman" w:hAnsi="Times New Roman" w:cs="Times New Roman"/>
          <w:sz w:val="24"/>
          <w:szCs w:val="24"/>
          <w:lang w:eastAsia="fr-FR"/>
        </w:rPr>
        <w:t>BioImagerie</w:t>
      </w:r>
      <w:proofErr w:type="spellEnd"/>
      <w:r w:rsidRPr="00067CF7">
        <w:rPr>
          <w:rFonts w:ascii="Times New Roman" w:eastAsia="Times New Roman" w:hAnsi="Times New Roman" w:cs="Times New Roman"/>
          <w:sz w:val="24"/>
          <w:szCs w:val="24"/>
          <w:lang w:eastAsia="fr-FR"/>
        </w:rPr>
        <w:t xml:space="preserve"> Photonique, F-75015 Paris, France.</w:t>
      </w:r>
      <w:r w:rsidRPr="00067CF7">
        <w:rPr>
          <w:rFonts w:ascii="Times New Roman" w:eastAsia="Times New Roman" w:hAnsi="Times New Roman" w:cs="Times New Roman"/>
          <w:sz w:val="24"/>
          <w:szCs w:val="24"/>
          <w:lang w:eastAsia="fr-FR"/>
        </w:rPr>
        <w:br/>
      </w:r>
      <w:r w:rsidRPr="00067CF7">
        <w:rPr>
          <w:rFonts w:ascii="Times New Roman" w:eastAsia="Times New Roman" w:hAnsi="Times New Roman" w:cs="Times New Roman"/>
          <w:sz w:val="24"/>
          <w:szCs w:val="24"/>
          <w:vertAlign w:val="superscript"/>
          <w:lang w:eastAsia="fr-FR"/>
        </w:rPr>
        <w:t>6</w:t>
      </w:r>
      <w:r w:rsidRPr="00067CF7">
        <w:rPr>
          <w:rFonts w:ascii="Times New Roman" w:eastAsia="Times New Roman" w:hAnsi="Times New Roman" w:cs="Times New Roman"/>
          <w:sz w:val="24"/>
          <w:szCs w:val="24"/>
          <w:lang w:eastAsia="fr-FR"/>
        </w:rPr>
        <w:t xml:space="preserve"> Institut Pasteur, Université de Paris, </w:t>
      </w:r>
      <w:proofErr w:type="spellStart"/>
      <w:r w:rsidRPr="00067CF7">
        <w:rPr>
          <w:rFonts w:ascii="Times New Roman" w:eastAsia="Times New Roman" w:hAnsi="Times New Roman" w:cs="Times New Roman"/>
          <w:sz w:val="24"/>
          <w:szCs w:val="24"/>
          <w:lang w:eastAsia="fr-FR"/>
        </w:rPr>
        <w:t>ICAReB</w:t>
      </w:r>
      <w:proofErr w:type="spellEnd"/>
      <w:r w:rsidRPr="00067CF7">
        <w:rPr>
          <w:rFonts w:ascii="Times New Roman" w:eastAsia="Times New Roman" w:hAnsi="Times New Roman" w:cs="Times New Roman"/>
          <w:sz w:val="24"/>
          <w:szCs w:val="24"/>
          <w:lang w:eastAsia="fr-FR"/>
        </w:rPr>
        <w:t>. F-75015 Paris. France.</w:t>
      </w:r>
      <w:r w:rsidRPr="00067CF7">
        <w:rPr>
          <w:rFonts w:ascii="Times New Roman" w:eastAsia="Times New Roman" w:hAnsi="Times New Roman" w:cs="Times New Roman"/>
          <w:sz w:val="24"/>
          <w:szCs w:val="24"/>
          <w:lang w:eastAsia="fr-FR"/>
        </w:rPr>
        <w:br/>
      </w:r>
      <w:r w:rsidRPr="00067CF7">
        <w:rPr>
          <w:rFonts w:ascii="Times New Roman" w:eastAsia="Times New Roman" w:hAnsi="Times New Roman" w:cs="Times New Roman"/>
          <w:sz w:val="24"/>
          <w:szCs w:val="24"/>
          <w:vertAlign w:val="superscript"/>
          <w:lang w:eastAsia="fr-FR"/>
        </w:rPr>
        <w:t>7</w:t>
      </w:r>
      <w:r w:rsidRPr="00067CF7">
        <w:rPr>
          <w:rFonts w:ascii="Times New Roman" w:eastAsia="Times New Roman" w:hAnsi="Times New Roman" w:cs="Times New Roman"/>
          <w:sz w:val="24"/>
          <w:szCs w:val="24"/>
          <w:lang w:eastAsia="fr-FR"/>
        </w:rPr>
        <w:t xml:space="preserve"> Université de Paris, Institut Cochin, Inserm, CNRS, F-75014 Paris, France.</w:t>
      </w:r>
    </w:p>
    <w:p w:rsidR="00E57292" w:rsidRDefault="00E57292"/>
    <w:sectPr w:rsidR="00E572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CF7"/>
    <w:rsid w:val="00067CF7"/>
    <w:rsid w:val="00E572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B9A65A-3894-41FA-8055-0872E9BC9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rsid w:val="00067C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3">
    <w:name w:val="heading 3"/>
    <w:basedOn w:val="Normal"/>
    <w:link w:val="Titre3Car"/>
    <w:uiPriority w:val="9"/>
    <w:qFormat/>
    <w:rsid w:val="00067CF7"/>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67CF7"/>
    <w:rPr>
      <w:rFonts w:ascii="Times New Roman" w:eastAsia="Times New Roman" w:hAnsi="Times New Roman" w:cs="Times New Roman"/>
      <w:b/>
      <w:bCs/>
      <w:kern w:val="36"/>
      <w:sz w:val="48"/>
      <w:szCs w:val="48"/>
      <w:lang w:eastAsia="fr-FR"/>
    </w:rPr>
  </w:style>
  <w:style w:type="character" w:customStyle="1" w:styleId="Titre3Car">
    <w:name w:val="Titre 3 Car"/>
    <w:basedOn w:val="Policepardfaut"/>
    <w:link w:val="Titre3"/>
    <w:uiPriority w:val="9"/>
    <w:rsid w:val="00067CF7"/>
    <w:rPr>
      <w:rFonts w:ascii="Times New Roman" w:eastAsia="Times New Roman" w:hAnsi="Times New Roman" w:cs="Times New Roman"/>
      <w:b/>
      <w:bCs/>
      <w:sz w:val="27"/>
      <w:szCs w:val="27"/>
      <w:lang w:eastAsia="fr-FR"/>
    </w:rPr>
  </w:style>
  <w:style w:type="character" w:customStyle="1" w:styleId="date-display-single">
    <w:name w:val="date-display-single"/>
    <w:basedOn w:val="Policepardfaut"/>
    <w:rsid w:val="00067CF7"/>
  </w:style>
  <w:style w:type="character" w:customStyle="1" w:styleId="toolssep">
    <w:name w:val="tools__sep"/>
    <w:basedOn w:val="Policepardfaut"/>
    <w:rsid w:val="00067CF7"/>
  </w:style>
  <w:style w:type="character" w:styleId="Lienhypertexte">
    <w:name w:val="Hyperlink"/>
    <w:basedOn w:val="Policepardfaut"/>
    <w:uiPriority w:val="99"/>
    <w:semiHidden/>
    <w:unhideWhenUsed/>
    <w:rsid w:val="00067CF7"/>
    <w:rPr>
      <w:color w:val="0000FF"/>
      <w:u w:val="single"/>
    </w:rPr>
  </w:style>
  <w:style w:type="paragraph" w:styleId="NormalWeb">
    <w:name w:val="Normal (Web)"/>
    <w:basedOn w:val="Normal"/>
    <w:uiPriority w:val="99"/>
    <w:semiHidden/>
    <w:unhideWhenUsed/>
    <w:rsid w:val="00067CF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67CF7"/>
    <w:rPr>
      <w:b/>
      <w:bCs/>
    </w:rPr>
  </w:style>
  <w:style w:type="character" w:styleId="Accentuation">
    <w:name w:val="Emphasis"/>
    <w:basedOn w:val="Policepardfaut"/>
    <w:uiPriority w:val="20"/>
    <w:qFormat/>
    <w:rsid w:val="00067C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777067">
      <w:bodyDiv w:val="1"/>
      <w:marLeft w:val="0"/>
      <w:marRight w:val="0"/>
      <w:marTop w:val="0"/>
      <w:marBottom w:val="0"/>
      <w:divBdr>
        <w:top w:val="none" w:sz="0" w:space="0" w:color="auto"/>
        <w:left w:val="none" w:sz="0" w:space="0" w:color="auto"/>
        <w:bottom w:val="none" w:sz="0" w:space="0" w:color="auto"/>
        <w:right w:val="none" w:sz="0" w:space="0" w:color="auto"/>
      </w:divBdr>
      <w:divsChild>
        <w:div w:id="1211455565">
          <w:marLeft w:val="0"/>
          <w:marRight w:val="0"/>
          <w:marTop w:val="0"/>
          <w:marBottom w:val="0"/>
          <w:divBdr>
            <w:top w:val="none" w:sz="0" w:space="0" w:color="auto"/>
            <w:left w:val="none" w:sz="0" w:space="0" w:color="auto"/>
            <w:bottom w:val="none" w:sz="0" w:space="0" w:color="auto"/>
            <w:right w:val="none" w:sz="0" w:space="0" w:color="auto"/>
          </w:divBdr>
          <w:divsChild>
            <w:div w:id="1208251677">
              <w:marLeft w:val="0"/>
              <w:marRight w:val="0"/>
              <w:marTop w:val="0"/>
              <w:marBottom w:val="0"/>
              <w:divBdr>
                <w:top w:val="none" w:sz="0" w:space="0" w:color="auto"/>
                <w:left w:val="none" w:sz="0" w:space="0" w:color="auto"/>
                <w:bottom w:val="none" w:sz="0" w:space="0" w:color="auto"/>
                <w:right w:val="none" w:sz="0" w:space="0" w:color="auto"/>
              </w:divBdr>
            </w:div>
            <w:div w:id="1002049002">
              <w:marLeft w:val="0"/>
              <w:marRight w:val="0"/>
              <w:marTop w:val="0"/>
              <w:marBottom w:val="0"/>
              <w:divBdr>
                <w:top w:val="none" w:sz="0" w:space="0" w:color="auto"/>
                <w:left w:val="none" w:sz="0" w:space="0" w:color="auto"/>
                <w:bottom w:val="none" w:sz="0" w:space="0" w:color="auto"/>
                <w:right w:val="none" w:sz="0" w:space="0" w:color="auto"/>
              </w:divBdr>
              <w:divsChild>
                <w:div w:id="192475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662316">
          <w:marLeft w:val="0"/>
          <w:marRight w:val="0"/>
          <w:marTop w:val="0"/>
          <w:marBottom w:val="0"/>
          <w:divBdr>
            <w:top w:val="none" w:sz="0" w:space="0" w:color="auto"/>
            <w:left w:val="none" w:sz="0" w:space="0" w:color="auto"/>
            <w:bottom w:val="none" w:sz="0" w:space="0" w:color="auto"/>
            <w:right w:val="none" w:sz="0" w:space="0" w:color="auto"/>
          </w:divBdr>
          <w:divsChild>
            <w:div w:id="164983239">
              <w:marLeft w:val="0"/>
              <w:marRight w:val="0"/>
              <w:marTop w:val="0"/>
              <w:marBottom w:val="0"/>
              <w:divBdr>
                <w:top w:val="none" w:sz="0" w:space="0" w:color="auto"/>
                <w:left w:val="none" w:sz="0" w:space="0" w:color="auto"/>
                <w:bottom w:val="none" w:sz="0" w:space="0" w:color="auto"/>
                <w:right w:val="none" w:sz="0" w:space="0" w:color="auto"/>
              </w:divBdr>
              <w:divsChild>
                <w:div w:id="859782708">
                  <w:marLeft w:val="0"/>
                  <w:marRight w:val="0"/>
                  <w:marTop w:val="0"/>
                  <w:marBottom w:val="0"/>
                  <w:divBdr>
                    <w:top w:val="none" w:sz="0" w:space="0" w:color="auto"/>
                    <w:left w:val="none" w:sz="0" w:space="0" w:color="auto"/>
                    <w:bottom w:val="none" w:sz="0" w:space="0" w:color="auto"/>
                    <w:right w:val="none" w:sz="0" w:space="0" w:color="auto"/>
                  </w:divBdr>
                  <w:divsChild>
                    <w:div w:id="531841580">
                      <w:marLeft w:val="0"/>
                      <w:marRight w:val="0"/>
                      <w:marTop w:val="0"/>
                      <w:marBottom w:val="0"/>
                      <w:divBdr>
                        <w:top w:val="none" w:sz="0" w:space="0" w:color="auto"/>
                        <w:left w:val="none" w:sz="0" w:space="0" w:color="auto"/>
                        <w:bottom w:val="none" w:sz="0" w:space="0" w:color="auto"/>
                        <w:right w:val="none" w:sz="0" w:space="0" w:color="auto"/>
                      </w:divBdr>
                    </w:div>
                  </w:divsChild>
                </w:div>
                <w:div w:id="1616448506">
                  <w:marLeft w:val="0"/>
                  <w:marRight w:val="0"/>
                  <w:marTop w:val="0"/>
                  <w:marBottom w:val="0"/>
                  <w:divBdr>
                    <w:top w:val="none" w:sz="0" w:space="0" w:color="auto"/>
                    <w:left w:val="none" w:sz="0" w:space="0" w:color="auto"/>
                    <w:bottom w:val="none" w:sz="0" w:space="0" w:color="auto"/>
                    <w:right w:val="none" w:sz="0" w:space="0" w:color="auto"/>
                  </w:divBdr>
                  <w:divsChild>
                    <w:div w:id="162346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03238">
          <w:marLeft w:val="0"/>
          <w:marRight w:val="0"/>
          <w:marTop w:val="0"/>
          <w:marBottom w:val="0"/>
          <w:divBdr>
            <w:top w:val="none" w:sz="0" w:space="0" w:color="auto"/>
            <w:left w:val="none" w:sz="0" w:space="0" w:color="auto"/>
            <w:bottom w:val="none" w:sz="0" w:space="0" w:color="auto"/>
            <w:right w:val="none" w:sz="0" w:space="0" w:color="auto"/>
          </w:divBdr>
          <w:divsChild>
            <w:div w:id="807018843">
              <w:marLeft w:val="0"/>
              <w:marRight w:val="0"/>
              <w:marTop w:val="0"/>
              <w:marBottom w:val="0"/>
              <w:divBdr>
                <w:top w:val="none" w:sz="0" w:space="0" w:color="auto"/>
                <w:left w:val="none" w:sz="0" w:space="0" w:color="auto"/>
                <w:bottom w:val="none" w:sz="0" w:space="0" w:color="auto"/>
                <w:right w:val="none" w:sz="0" w:space="0" w:color="auto"/>
              </w:divBdr>
              <w:divsChild>
                <w:div w:id="1869491062">
                  <w:marLeft w:val="0"/>
                  <w:marRight w:val="0"/>
                  <w:marTop w:val="0"/>
                  <w:marBottom w:val="0"/>
                  <w:divBdr>
                    <w:top w:val="none" w:sz="0" w:space="0" w:color="auto"/>
                    <w:left w:val="none" w:sz="0" w:space="0" w:color="auto"/>
                    <w:bottom w:val="none" w:sz="0" w:space="0" w:color="auto"/>
                    <w:right w:val="none" w:sz="0" w:space="0" w:color="auto"/>
                  </w:divBdr>
                </w:div>
                <w:div w:id="170100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005211">
          <w:marLeft w:val="0"/>
          <w:marRight w:val="0"/>
          <w:marTop w:val="0"/>
          <w:marBottom w:val="0"/>
          <w:divBdr>
            <w:top w:val="none" w:sz="0" w:space="0" w:color="auto"/>
            <w:left w:val="none" w:sz="0" w:space="0" w:color="auto"/>
            <w:bottom w:val="none" w:sz="0" w:space="0" w:color="auto"/>
            <w:right w:val="none" w:sz="0" w:space="0" w:color="auto"/>
          </w:divBdr>
          <w:divsChild>
            <w:div w:id="65661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witter.com/share?url=https%3A//www.pasteur.fr/fr/espace-presse/documents-presse/cancer-du-colon-comment-mutation-du-gene-apc-perturbe-migration-lymphocytes&amp;text=Cancer%20du%20c%C3%B4lon%20%3A%20comment%20la%20mutation%20du%20g%C3%A8ne%20APC%20perturbe%20la%20migration%20des%20lymphocytes" TargetMode="External"/><Relationship Id="rId13" Type="http://schemas.openxmlformats.org/officeDocument/2006/relationships/hyperlink" Target="https://www.science.org/doi/10.1126/sciadv.abl5942"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pasteur.fr/fr/sante-publique/biobanques-collections/investigation-clinique-acces-aux-ressources-biologiques-icareb/propos-icare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acebook.com/sharer.php?u=https%3A//www.pasteur.fr/fr/espace-presse/documents-presse/cancer-du-colon-comment-mutation-du-gene-apc-perturbe-migration-lymphocytes&amp;t=Cancer%20du%20c%C3%B4lon%20%3A%20comment%20la%20mutation%20du%20g%C3%A8ne%20APC%20perturbe%20la%20migration%20des%20lymphocytes" TargetMode="External"/><Relationship Id="rId11" Type="http://schemas.openxmlformats.org/officeDocument/2006/relationships/hyperlink" Target="https://www.pasteur.fr/fr/sante-publique/biobanques-collections/investigation-clinique-acces-aux-ressources-biologiques-icareb/propos-icareb"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science.org/doi/10.1126/sciadv.abl5942" TargetMode="External"/><Relationship Id="rId4" Type="http://schemas.openxmlformats.org/officeDocument/2006/relationships/hyperlink" Target="http://www.linkedin.com/shareArticle?mini=true&amp;url=https%3A//www.pasteur.fr/fr/espace-presse/documents-presse/cancer-du-colon-comment-mutation-du-gene-apc-perturbe-migration-lymphocytes&amp;title=Cancer%20du%20c%C3%B4lon%20%3A%20comment%20la%20mutation%20du%20g%C3%A8ne%20APC%20perturbe%20la%20migration%20des%20lymphocytes&amp;summary=Chez%20les%20patients%20atteints%20de%20polypose%20ad%C3%A9nomateuse%20familiale%2C%20une%20maladie%20g%C3%A9n%C3%A9tique%20qui%20pr%C3%A9dispose%20au%20cancer%20du%20c%C3%B4lon%2C%20les%20mutations%20du%20g%C3%A8ne%20APC%20induisent%20la%20formation%20de%20polypes%20intestinaux%2C%20mais%20r%C3%A9duisent%20aussi%20l%E2%80%99action%20du%20syst%C3%A8me%20immunitaire.&amp;source=Institut%20Pasteur" TargetMode="Externa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1247</Words>
  <Characters>6864</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Cécile DRAI</dc:creator>
  <cp:keywords/>
  <dc:description/>
  <cp:lastModifiedBy>Cécile DRAI</cp:lastModifiedBy>
  <cp:revision>1</cp:revision>
  <dcterms:created xsi:type="dcterms:W3CDTF">2022-04-15T07:18:00Z</dcterms:created>
  <dcterms:modified xsi:type="dcterms:W3CDTF">2022-04-15T07:18:00Z</dcterms:modified>
</cp:coreProperties>
</file>